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宋体" w:hAnsi="宋体"/>
          <w:b/>
          <w:bCs/>
          <w:sz w:val="24"/>
          <w:szCs w:val="20"/>
        </w:rPr>
      </w:pPr>
      <w:bookmarkStart w:id="0" w:name="_GoBack"/>
      <w:bookmarkEnd w:id="0"/>
      <w:r>
        <w:rPr>
          <w:rFonts w:hint="eastAsia" w:ascii="宋体" w:hAnsi="宋体"/>
          <w:b/>
          <w:bCs/>
          <w:sz w:val="24"/>
          <w:szCs w:val="20"/>
        </w:rPr>
        <w:t>采购清单</w:t>
      </w:r>
    </w:p>
    <w:tbl>
      <w:tblPr>
        <w:tblStyle w:val="3"/>
        <w:tblW w:w="10034" w:type="dxa"/>
        <w:jc w:val="center"/>
        <w:tblInd w:w="0" w:type="dxa"/>
        <w:tblLayout w:type="fixed"/>
        <w:tblCellMar>
          <w:top w:w="0" w:type="dxa"/>
          <w:left w:w="0" w:type="dxa"/>
          <w:bottom w:w="0" w:type="dxa"/>
          <w:right w:w="0" w:type="dxa"/>
        </w:tblCellMar>
      </w:tblPr>
      <w:tblGrid>
        <w:gridCol w:w="441"/>
        <w:gridCol w:w="992"/>
        <w:gridCol w:w="567"/>
        <w:gridCol w:w="425"/>
        <w:gridCol w:w="6778"/>
        <w:gridCol w:w="831"/>
      </w:tblGrid>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序号</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产品名称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数量</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单位</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规格参数</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参考品牌型号</w:t>
            </w:r>
          </w:p>
        </w:tc>
      </w:tr>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sz w:val="18"/>
                <w:szCs w:val="18"/>
              </w:rPr>
              <w:t>工作电脑</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140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台</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sz w:val="18"/>
                <w:szCs w:val="18"/>
              </w:rPr>
            </w:pPr>
            <w:r>
              <w:rPr>
                <w:rFonts w:hint="eastAsia" w:ascii="宋体" w:hAnsi="宋体"/>
                <w:sz w:val="18"/>
                <w:szCs w:val="18"/>
              </w:rPr>
              <w:t>机箱：可立可卧机箱，尺寸不大于前高：290.00 毫米（11.42 英寸）后高：290.00 毫米（11.42 英寸） 宽：92.60 毫米（3.65 英寸）深：292.80 毫米（11.53 英寸），机箱为免工具拆卸,与定制的实训桌架配套需小于7.8升；</w:t>
            </w:r>
          </w:p>
          <w:p>
            <w:pPr>
              <w:rPr>
                <w:rFonts w:ascii="宋体" w:hAnsi="宋体"/>
                <w:sz w:val="18"/>
                <w:szCs w:val="18"/>
              </w:rPr>
            </w:pPr>
            <w:r>
              <w:rPr>
                <w:rFonts w:hint="eastAsia" w:ascii="宋体" w:hAnsi="宋体"/>
                <w:sz w:val="18"/>
                <w:szCs w:val="18"/>
              </w:rPr>
              <w:t>CPU：英特尔® 酷睿™ i5-10500以上</w:t>
            </w:r>
          </w:p>
          <w:p>
            <w:pPr>
              <w:rPr>
                <w:rFonts w:ascii="宋体" w:hAnsi="宋体"/>
                <w:sz w:val="18"/>
                <w:szCs w:val="18"/>
              </w:rPr>
            </w:pPr>
            <w:r>
              <w:rPr>
                <w:rFonts w:hint="eastAsia" w:ascii="宋体" w:hAnsi="宋体"/>
                <w:sz w:val="18"/>
                <w:szCs w:val="18"/>
              </w:rPr>
              <w:t>芯片组：Intel B460主板</w:t>
            </w:r>
          </w:p>
          <w:p>
            <w:pPr>
              <w:rPr>
                <w:rFonts w:ascii="宋体" w:hAnsi="宋体"/>
                <w:sz w:val="18"/>
                <w:szCs w:val="18"/>
              </w:rPr>
            </w:pPr>
            <w:r>
              <w:rPr>
                <w:rFonts w:hint="eastAsia" w:ascii="宋体" w:hAnsi="宋体"/>
                <w:sz w:val="18"/>
                <w:szCs w:val="18"/>
              </w:rPr>
              <w:t>内存：≥16GB DDR4</w:t>
            </w:r>
          </w:p>
          <w:p>
            <w:pPr>
              <w:rPr>
                <w:rFonts w:ascii="宋体" w:hAnsi="宋体"/>
                <w:sz w:val="18"/>
                <w:szCs w:val="18"/>
              </w:rPr>
            </w:pPr>
            <w:r>
              <w:rPr>
                <w:rFonts w:hint="eastAsia" w:ascii="宋体" w:hAnsi="宋体"/>
                <w:sz w:val="18"/>
                <w:szCs w:val="18"/>
              </w:rPr>
              <w:t>显卡：集成显卡</w:t>
            </w:r>
          </w:p>
          <w:p>
            <w:pPr>
              <w:rPr>
                <w:rFonts w:ascii="宋体" w:hAnsi="宋体"/>
                <w:sz w:val="18"/>
                <w:szCs w:val="18"/>
              </w:rPr>
            </w:pPr>
            <w:r>
              <w:rPr>
                <w:rFonts w:hint="eastAsia" w:ascii="宋体" w:hAnsi="宋体"/>
                <w:sz w:val="18"/>
                <w:szCs w:val="18"/>
              </w:rPr>
              <w:t>硬盘：2.5寸256G SATA SSD</w:t>
            </w:r>
          </w:p>
          <w:p>
            <w:pPr>
              <w:rPr>
                <w:rFonts w:ascii="宋体" w:hAnsi="宋体"/>
                <w:sz w:val="18"/>
                <w:szCs w:val="18"/>
              </w:rPr>
            </w:pPr>
            <w:r>
              <w:rPr>
                <w:rFonts w:hint="eastAsia" w:ascii="宋体" w:hAnsi="宋体"/>
                <w:sz w:val="18"/>
                <w:szCs w:val="18"/>
              </w:rPr>
              <w:t xml:space="preserve">扩展槽：1 个半高第三代 PCIe x16 插槽 1 个半高第三代 PCIe x1 插槽 1 个 M.2 2230 无线网卡插槽 1 个 M.2 2230/2280 存储插槽 2 个 SATA 插槽 — 1 个 3.5“ 硬盘或 2.5” 硬盘 </w:t>
            </w:r>
          </w:p>
          <w:p>
            <w:pPr>
              <w:rPr>
                <w:rFonts w:ascii="宋体" w:hAnsi="宋体"/>
                <w:sz w:val="18"/>
                <w:szCs w:val="18"/>
              </w:rPr>
            </w:pPr>
            <w:r>
              <w:rPr>
                <w:rFonts w:hint="eastAsia" w:ascii="宋体" w:hAnsi="宋体"/>
                <w:sz w:val="18"/>
                <w:szCs w:val="18"/>
              </w:rPr>
              <w:t>网卡：10/100/1000M以太网卡</w:t>
            </w:r>
          </w:p>
          <w:p>
            <w:pPr>
              <w:rPr>
                <w:rFonts w:ascii="宋体" w:hAnsi="宋体"/>
                <w:sz w:val="18"/>
                <w:szCs w:val="18"/>
              </w:rPr>
            </w:pPr>
            <w:r>
              <w:rPr>
                <w:rFonts w:hint="eastAsia" w:ascii="宋体" w:hAnsi="宋体"/>
                <w:sz w:val="18"/>
                <w:szCs w:val="18"/>
              </w:rPr>
              <w:t>安全性：配置原厂机箱切入开关，不允许第三方；</w:t>
            </w:r>
          </w:p>
          <w:p>
            <w:pPr>
              <w:rPr>
                <w:rFonts w:ascii="宋体" w:hAnsi="宋体"/>
                <w:sz w:val="18"/>
                <w:szCs w:val="18"/>
              </w:rPr>
            </w:pPr>
            <w:r>
              <w:rPr>
                <w:rFonts w:hint="eastAsia" w:ascii="宋体" w:hAnsi="宋体"/>
                <w:sz w:val="18"/>
                <w:szCs w:val="18"/>
              </w:rPr>
              <w:t>接口：1 个 RJ-45 端口，10/100/1000 Mbps（背面） 2 个 USB 2.0 Type-A 端口（正面） 2 个 USB 2.0 Type-A 端口，具有智能开机功能（背面） 2 个第一代 USB 3.2 Type-A 端口（正面） 2 个第一代 USB 3.2 Type-A 端口（背面） 1 个通用音频插孔（正面）1 个 DisplayPort 1.4 端口（背面） 1 个 HDMI 1.4b 端口（背面） 1 个串行 /PS2 插槽（可选） 1 个可选视频端口 — HDMI 2.0b、DP 或 VGA 1 个音频输入 / 输出重新分配端口（背面）</w:t>
            </w:r>
          </w:p>
          <w:p>
            <w:pPr>
              <w:rPr>
                <w:rFonts w:ascii="宋体" w:hAnsi="宋体"/>
                <w:sz w:val="18"/>
                <w:szCs w:val="18"/>
              </w:rPr>
            </w:pPr>
            <w:r>
              <w:rPr>
                <w:rFonts w:hint="eastAsia" w:ascii="宋体" w:hAnsi="宋体"/>
                <w:sz w:val="18"/>
                <w:szCs w:val="18"/>
              </w:rPr>
              <w:t>显示器：23.8英寸16：9，IPS面板显示器；对比度1000:1；响应正常为8ms，灰阶为5ms；输入连接接口VGA、DisplayPort；高清分辨率1920 x 1080的、亮度 250 cd/m²（典型值）、 色彩支持 色域（典型值）:72%  色深 ：1670 万色；通过ENERGY STAR认证、EPEAT 认证、RoHS 标准、TCO 认证显示屏，与主机同一品牌</w:t>
            </w:r>
          </w:p>
          <w:p>
            <w:pPr>
              <w:rPr>
                <w:rFonts w:ascii="宋体" w:hAnsi="宋体"/>
                <w:sz w:val="18"/>
                <w:szCs w:val="18"/>
              </w:rPr>
            </w:pPr>
            <w:r>
              <w:rPr>
                <w:rFonts w:hint="eastAsia" w:ascii="宋体" w:hAnsi="宋体"/>
                <w:sz w:val="18"/>
                <w:szCs w:val="18"/>
              </w:rPr>
              <w:t>电源：200W，符合能源之星标准</w:t>
            </w:r>
          </w:p>
          <w:p>
            <w:pPr>
              <w:rPr>
                <w:rFonts w:ascii="宋体" w:hAnsi="宋体"/>
                <w:b/>
                <w:bCs/>
                <w:sz w:val="18"/>
                <w:szCs w:val="18"/>
              </w:rPr>
            </w:pPr>
            <w:r>
              <w:rPr>
                <w:rFonts w:hint="eastAsia" w:ascii="宋体" w:hAnsi="宋体"/>
                <w:sz w:val="18"/>
                <w:szCs w:val="18"/>
              </w:rPr>
              <w:t>键盘鼠标：USB键盘鼠标</w:t>
            </w:r>
          </w:p>
          <w:p>
            <w:pPr>
              <w:rPr>
                <w:rFonts w:ascii="宋体" w:hAnsi="宋体"/>
                <w:sz w:val="18"/>
                <w:szCs w:val="18"/>
              </w:rPr>
            </w:pPr>
            <w:r>
              <w:rPr>
                <w:rFonts w:hint="eastAsia" w:ascii="宋体" w:hAnsi="宋体"/>
                <w:sz w:val="18"/>
                <w:szCs w:val="18"/>
              </w:rPr>
              <w:t>原厂3年保修；签订合同时提供原厂售后服务承诺函。</w:t>
            </w:r>
          </w:p>
          <w:p>
            <w:pPr>
              <w:rPr>
                <w:rFonts w:ascii="宋体" w:hAnsi="宋体"/>
                <w:sz w:val="18"/>
                <w:szCs w:val="18"/>
              </w:rPr>
            </w:pPr>
            <w:r>
              <w:rPr>
                <w:rFonts w:hint="eastAsia" w:ascii="宋体" w:hAnsi="宋体"/>
                <w:sz w:val="18"/>
                <w:szCs w:val="18"/>
              </w:rPr>
              <w:t>项目包含线材附件及施工安装</w:t>
            </w:r>
          </w:p>
          <w:p>
            <w:pPr>
              <w:rPr>
                <w:rFonts w:ascii="宋体" w:hAnsi="宋体"/>
                <w:sz w:val="18"/>
                <w:szCs w:val="18"/>
              </w:rPr>
            </w:pPr>
            <w:r>
              <w:rPr>
                <w:rFonts w:hint="eastAsia" w:ascii="宋体" w:hAnsi="宋体"/>
                <w:sz w:val="18"/>
                <w:szCs w:val="18"/>
              </w:rPr>
              <w:t>原厂预装</w:t>
            </w:r>
            <w:r>
              <w:rPr>
                <w:rFonts w:hint="eastAsia" w:ascii="宋体" w:hAnsi="宋体"/>
                <w:b/>
                <w:sz w:val="18"/>
                <w:szCs w:val="18"/>
              </w:rPr>
              <w:t>win10中文专业版</w:t>
            </w:r>
            <w:r>
              <w:rPr>
                <w:rFonts w:hint="eastAsia" w:ascii="宋体" w:hAnsi="宋体"/>
                <w:sz w:val="18"/>
                <w:szCs w:val="18"/>
              </w:rPr>
              <w:t>操作系统（非开发协议版本、非HOME简体中文版）</w:t>
            </w:r>
          </w:p>
          <w:p>
            <w:pPr>
              <w:rPr>
                <w:rFonts w:ascii="宋体" w:hAnsi="宋体"/>
                <w:sz w:val="18"/>
                <w:szCs w:val="18"/>
              </w:rPr>
            </w:pPr>
            <w:r>
              <w:rPr>
                <w:rFonts w:hint="eastAsia" w:ascii="宋体" w:hAnsi="宋体"/>
                <w:sz w:val="18"/>
                <w:szCs w:val="18"/>
              </w:rPr>
              <w:t>软件部分（正版）：</w:t>
            </w:r>
          </w:p>
          <w:p>
            <w:pPr>
              <w:rPr>
                <w:rFonts w:ascii="宋体" w:hAnsi="宋体"/>
                <w:sz w:val="18"/>
                <w:szCs w:val="18"/>
              </w:rPr>
            </w:pPr>
            <w:r>
              <w:rPr>
                <w:rFonts w:hint="eastAsia" w:ascii="宋体" w:hAnsi="宋体"/>
                <w:sz w:val="18"/>
                <w:szCs w:val="18"/>
              </w:rPr>
              <w:t>终端准入：支持基于802.1X协议的网络准入控制。基于802.1X网络准入控制需要同时支持有线网络和无线网络接入。支持Radius Bypass功能。支持安卓、IOS等移动平台及Windows或Linux系统自带第三方802.1X准入认证。</w:t>
            </w:r>
          </w:p>
          <w:p>
            <w:pPr>
              <w:rPr>
                <w:rFonts w:ascii="宋体" w:hAnsi="宋体"/>
                <w:sz w:val="18"/>
                <w:szCs w:val="18"/>
              </w:rPr>
            </w:pPr>
            <w:r>
              <w:rPr>
                <w:rFonts w:hint="eastAsia" w:ascii="宋体" w:hAnsi="宋体"/>
                <w:sz w:val="18"/>
                <w:szCs w:val="18"/>
              </w:rPr>
              <w:t>主机防火墙：具备自主防火墙功能，不依赖系统防火墙能够对客户端进行ACL集中设置，在终端层次实现基于网络五元组的访问控制。支持对不同端口和地址能够设置不同的流量限制规则。能够在客户端上实时监控每个远端端口、本端端口、目标地址的流量，实时自动抑制异常流量，自动限制超过阈值的流量，将蠕虫病毒或非业务流量对网络的影响减到最小。</w:t>
            </w:r>
          </w:p>
          <w:p>
            <w:pPr>
              <w:rPr>
                <w:rFonts w:ascii="宋体" w:hAnsi="宋体"/>
                <w:sz w:val="18"/>
                <w:szCs w:val="18"/>
              </w:rPr>
            </w:pPr>
            <w:r>
              <w:rPr>
                <w:rFonts w:hint="eastAsia" w:ascii="宋体" w:hAnsi="宋体"/>
                <w:sz w:val="18"/>
                <w:szCs w:val="18"/>
              </w:rPr>
              <w:t>多网卡限制与网络非法外联控制： 能够自动检测和识别存在多网卡的终端，自动选择网卡，禁用其他网卡。操作系统开机即时进行非法外联检测，防止终端利用系统未启动进行外联传输数据。支持SSID白名单管理，限制终端只允许连接白名单内ssid，防止通过非法ssid或手机共享热点造成的外联行为。</w:t>
            </w:r>
          </w:p>
          <w:p>
            <w:pPr>
              <w:rPr>
                <w:rFonts w:ascii="宋体" w:hAnsi="宋体"/>
                <w:sz w:val="18"/>
                <w:szCs w:val="18"/>
              </w:rPr>
            </w:pPr>
            <w:r>
              <w:rPr>
                <w:rFonts w:hint="eastAsia" w:ascii="宋体" w:hAnsi="宋体"/>
                <w:sz w:val="18"/>
                <w:szCs w:val="18"/>
              </w:rPr>
              <w:t>审计及控制：支持文件操作审计及文件操作权限控制功能，能够对终端的磁盘或指定目录、共享目录、网络路径、移动磁盘的读、写、创建、删除、改名、移动、拷贝等操作进行权限控制及操作审计。支持文件名关键词设置，实现仅针对关键词文件生效或例外处理。支持只有白名单内的可信进程可以访问受保护的目录或文件，防止恶意软件或勒索病毒对终端文件的非法篡改。</w:t>
            </w:r>
          </w:p>
          <w:p>
            <w:pPr>
              <w:rPr>
                <w:rFonts w:ascii="宋体" w:hAnsi="宋体"/>
                <w:sz w:val="18"/>
                <w:szCs w:val="18"/>
              </w:rPr>
            </w:pPr>
            <w:r>
              <w:rPr>
                <w:rFonts w:hint="eastAsia" w:ascii="宋体" w:hAnsi="宋体"/>
                <w:sz w:val="18"/>
                <w:szCs w:val="18"/>
              </w:rPr>
              <w:t>移动存储设备认证和授权：支持对终端接入的移动存储设备提供认证、授权和审计，确保终端使用认证通过的移动储存设备。对移动存储认证模式至少要支持专用目录加密和全盘加密二种认证模式，支持市面所有USB2.0及USB3.0的移动存储设备及大容量移动硬盘。</w:t>
            </w:r>
          </w:p>
          <w:p>
            <w:pPr>
              <w:rPr>
                <w:rFonts w:ascii="宋体" w:hAnsi="宋体"/>
                <w:kern w:val="0"/>
                <w:sz w:val="18"/>
                <w:szCs w:val="18"/>
              </w:rPr>
            </w:pPr>
            <w:r>
              <w:rPr>
                <w:rFonts w:hint="eastAsia" w:ascii="宋体" w:hAnsi="宋体"/>
                <w:sz w:val="18"/>
                <w:szCs w:val="18"/>
              </w:rPr>
              <w:t>DLP：终端敏感信息发现：支持全盘文件索引功能，开启终端dlp功能后自动建立索引，后期所有文件变动、新增都增量更新索引。支持全盘或指定位置检查是否存在敏感文件及文件敏感等级等信息，无需周期性扫描检查。支持屏幕水印功能； 支持点阵式屏幕水印功能，点阵信息支持自定义边长、间距、颜色、透明度等信息，通过对点阵水印信息解析可支持对录屏、截屏、拍照等行为获取到的图片信息进行溯源追踪。能够提供勒索病毒落点监控，行为监控，网络监控，定向诱捕等技术实现在落地前、运行中进行拦截，并且提供文件保险箱、自定义定时备份等文档保护功能确保文档安全，并能对部分勒索病毒加密的文件进行解密。</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pPr>
            <w:r>
              <w:rPr>
                <w:rFonts w:hint="eastAsia" w:ascii="宋体" w:hAnsi="宋体"/>
                <w:sz w:val="18"/>
                <w:szCs w:val="18"/>
              </w:rPr>
              <w:t>戴尔OptiPlex 3080 SFF或</w:t>
            </w:r>
            <w:r>
              <w:rPr>
                <w:rFonts w:hint="eastAsia" w:ascii="宋体" w:hAnsi="宋体"/>
                <w:color w:val="000000"/>
                <w:sz w:val="18"/>
                <w:szCs w:val="18"/>
              </w:rPr>
              <w:t>联想ThinkCentre M730s-N099或同类同档次</w:t>
            </w:r>
          </w:p>
        </w:tc>
      </w:tr>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2</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防火墙</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套</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sz w:val="18"/>
                <w:szCs w:val="18"/>
              </w:rPr>
            </w:pPr>
            <w:r>
              <w:rPr>
                <w:rFonts w:hint="eastAsia" w:ascii="宋体" w:hAnsi="宋体"/>
                <w:sz w:val="18"/>
                <w:szCs w:val="18"/>
              </w:rPr>
              <w:t>专有硬件平台：</w:t>
            </w:r>
          </w:p>
          <w:p>
            <w:pPr>
              <w:widowControl/>
              <w:jc w:val="left"/>
              <w:textAlignment w:val="center"/>
              <w:rPr>
                <w:rFonts w:ascii="宋体" w:hAnsi="宋体"/>
                <w:sz w:val="18"/>
                <w:szCs w:val="18"/>
              </w:rPr>
            </w:pPr>
            <w:r>
              <w:rPr>
                <w:rFonts w:hint="eastAsia" w:ascii="宋体" w:hAnsi="宋体"/>
                <w:sz w:val="18"/>
                <w:szCs w:val="18"/>
              </w:rPr>
              <w:t>国产品牌，机架式硬件设备，基于高性能硬件平台和专业安全操作系统，非x86平台</w:t>
            </w:r>
          </w:p>
          <w:p>
            <w:pPr>
              <w:widowControl/>
              <w:jc w:val="left"/>
              <w:textAlignment w:val="center"/>
              <w:rPr>
                <w:rFonts w:ascii="宋体" w:hAnsi="宋体"/>
                <w:sz w:val="18"/>
                <w:szCs w:val="18"/>
              </w:rPr>
            </w:pPr>
            <w:r>
              <w:rPr>
                <w:rFonts w:hint="eastAsia" w:ascii="宋体" w:hAnsi="宋体"/>
                <w:sz w:val="18"/>
                <w:szCs w:val="18"/>
              </w:rPr>
              <w:t>接口数量：</w:t>
            </w:r>
          </w:p>
          <w:p>
            <w:pPr>
              <w:widowControl/>
              <w:jc w:val="left"/>
              <w:textAlignment w:val="center"/>
              <w:rPr>
                <w:rFonts w:ascii="宋体" w:hAnsi="宋体"/>
                <w:sz w:val="18"/>
                <w:szCs w:val="18"/>
              </w:rPr>
            </w:pPr>
            <w:r>
              <w:rPr>
                <w:rFonts w:hint="eastAsia" w:ascii="宋体" w:hAnsi="宋体"/>
                <w:sz w:val="18"/>
                <w:szCs w:val="18"/>
              </w:rPr>
              <w:t>设备高度≤1U，≥5个千兆电口，4个combo接口，4个SFP光口，1个USB接口，1个console接口</w:t>
            </w:r>
          </w:p>
          <w:p>
            <w:pPr>
              <w:widowControl/>
              <w:jc w:val="left"/>
              <w:textAlignment w:val="center"/>
              <w:rPr>
                <w:rFonts w:ascii="宋体" w:hAnsi="宋体"/>
                <w:sz w:val="18"/>
                <w:szCs w:val="18"/>
              </w:rPr>
            </w:pPr>
            <w:r>
              <w:rPr>
                <w:rFonts w:hint="eastAsia" w:ascii="宋体" w:hAnsi="宋体"/>
                <w:sz w:val="18"/>
                <w:szCs w:val="18"/>
              </w:rPr>
              <w:t>硬件高可靠：</w:t>
            </w:r>
          </w:p>
          <w:p>
            <w:pPr>
              <w:widowControl/>
              <w:jc w:val="left"/>
              <w:textAlignment w:val="center"/>
              <w:rPr>
                <w:rFonts w:ascii="宋体" w:hAnsi="宋体"/>
                <w:sz w:val="18"/>
                <w:szCs w:val="18"/>
              </w:rPr>
            </w:pPr>
            <w:r>
              <w:rPr>
                <w:rFonts w:hint="eastAsia" w:ascii="宋体" w:hAnsi="宋体"/>
                <w:sz w:val="18"/>
                <w:szCs w:val="18"/>
              </w:rPr>
              <w:t>防雷击浪涌等级三级以上，必须通过国家无线电监测中心检测中心浪涌（冲击）抗扰度（4KV）测试项目，并出具国家无线电监测中心检测中心委托测试报告</w:t>
            </w:r>
          </w:p>
          <w:p>
            <w:pPr>
              <w:widowControl/>
              <w:jc w:val="left"/>
              <w:textAlignment w:val="center"/>
              <w:rPr>
                <w:rFonts w:ascii="宋体" w:hAnsi="宋体"/>
                <w:sz w:val="18"/>
                <w:szCs w:val="18"/>
              </w:rPr>
            </w:pPr>
            <w:r>
              <w:rPr>
                <w:rFonts w:hint="eastAsia" w:ascii="宋体" w:hAnsi="宋体"/>
                <w:sz w:val="18"/>
                <w:szCs w:val="18"/>
              </w:rPr>
              <w:t>设备性能：</w:t>
            </w:r>
          </w:p>
          <w:p>
            <w:pPr>
              <w:widowControl/>
              <w:jc w:val="left"/>
              <w:textAlignment w:val="center"/>
              <w:rPr>
                <w:rFonts w:ascii="宋体" w:hAnsi="宋体"/>
                <w:sz w:val="18"/>
                <w:szCs w:val="18"/>
              </w:rPr>
            </w:pPr>
            <w:r>
              <w:rPr>
                <w:rFonts w:hint="eastAsia" w:ascii="宋体" w:hAnsi="宋体"/>
                <w:sz w:val="18"/>
                <w:szCs w:val="18"/>
              </w:rPr>
              <w:t>最大吞吐量≥2Gbps，防病毒吞吐量≥600Mbps，IPS吞吐量≥800Mbps，IPSEC VPN≥800Mbps，最大并发连接数≥180万，每秒新建连接 ≥45000，本次招标要求配置2000条IPSEC VPN隧道授权，100个SSL VPN并发授权，SSL VPN最大支持1000个并发用户。</w:t>
            </w:r>
          </w:p>
          <w:p>
            <w:pPr>
              <w:widowControl/>
              <w:jc w:val="left"/>
              <w:textAlignment w:val="center"/>
              <w:rPr>
                <w:rFonts w:ascii="宋体" w:hAnsi="宋体"/>
                <w:sz w:val="18"/>
                <w:szCs w:val="18"/>
              </w:rPr>
            </w:pPr>
            <w:r>
              <w:rPr>
                <w:rFonts w:hint="eastAsia" w:ascii="宋体" w:hAnsi="宋体"/>
                <w:sz w:val="18"/>
                <w:szCs w:val="18"/>
              </w:rPr>
              <w:t>流量分析：</w:t>
            </w:r>
          </w:p>
          <w:p>
            <w:pPr>
              <w:widowControl/>
              <w:jc w:val="left"/>
              <w:textAlignment w:val="center"/>
              <w:rPr>
                <w:rFonts w:ascii="宋体" w:hAnsi="宋体"/>
                <w:sz w:val="18"/>
                <w:szCs w:val="18"/>
              </w:rPr>
            </w:pPr>
            <w:r>
              <w:rPr>
                <w:rFonts w:hint="eastAsia" w:ascii="宋体" w:hAnsi="宋体"/>
                <w:sz w:val="18"/>
                <w:szCs w:val="18"/>
              </w:rPr>
              <w:t>支持将任意接口数据完全镜像到设备自身的其他接口用于抓包分析</w:t>
            </w:r>
          </w:p>
          <w:p>
            <w:pPr>
              <w:widowControl/>
              <w:jc w:val="left"/>
              <w:textAlignment w:val="center"/>
              <w:rPr>
                <w:rFonts w:ascii="宋体" w:hAnsi="宋体"/>
                <w:sz w:val="18"/>
                <w:szCs w:val="18"/>
              </w:rPr>
            </w:pPr>
            <w:r>
              <w:rPr>
                <w:rFonts w:hint="eastAsia" w:ascii="宋体" w:hAnsi="宋体"/>
                <w:sz w:val="18"/>
                <w:szCs w:val="18"/>
              </w:rPr>
              <w:t>支持netflow技术，实现对高速转发的IP数据流进行测量和统计</w:t>
            </w:r>
          </w:p>
          <w:p>
            <w:pPr>
              <w:widowControl/>
              <w:jc w:val="left"/>
              <w:textAlignment w:val="center"/>
              <w:rPr>
                <w:rFonts w:ascii="宋体" w:hAnsi="宋体"/>
                <w:sz w:val="18"/>
                <w:szCs w:val="18"/>
              </w:rPr>
            </w:pPr>
            <w:r>
              <w:rPr>
                <w:rFonts w:hint="eastAsia" w:ascii="宋体" w:hAnsi="宋体"/>
                <w:sz w:val="18"/>
                <w:szCs w:val="18"/>
              </w:rPr>
              <w:t>NAT功能：</w:t>
            </w:r>
          </w:p>
          <w:p>
            <w:pPr>
              <w:widowControl/>
              <w:jc w:val="left"/>
              <w:textAlignment w:val="center"/>
              <w:rPr>
                <w:rFonts w:ascii="宋体" w:hAnsi="宋体"/>
                <w:sz w:val="18"/>
                <w:szCs w:val="18"/>
              </w:rPr>
            </w:pPr>
            <w:r>
              <w:rPr>
                <w:rFonts w:hint="eastAsia" w:ascii="宋体" w:hAnsi="宋体"/>
                <w:sz w:val="18"/>
                <w:szCs w:val="18"/>
              </w:rPr>
              <w:t>支持NAT扩展技术，突破传统单个公网IP地址64512个端口的瓶颈达到更大值。</w:t>
            </w:r>
          </w:p>
          <w:p>
            <w:pPr>
              <w:widowControl/>
              <w:jc w:val="left"/>
              <w:textAlignment w:val="center"/>
              <w:rPr>
                <w:rFonts w:ascii="宋体" w:hAnsi="宋体"/>
                <w:sz w:val="18"/>
                <w:szCs w:val="18"/>
              </w:rPr>
            </w:pPr>
            <w:r>
              <w:rPr>
                <w:rFonts w:hint="eastAsia" w:ascii="宋体" w:hAnsi="宋体"/>
                <w:sz w:val="18"/>
                <w:szCs w:val="18"/>
              </w:rPr>
              <w:t>支持NAT地址可用性探测，支持NAT公网地址池中IP有效性检测，避免因NAT地址无法使用导致业务中断。</w:t>
            </w:r>
          </w:p>
          <w:p>
            <w:pPr>
              <w:widowControl/>
              <w:jc w:val="left"/>
              <w:textAlignment w:val="center"/>
              <w:rPr>
                <w:rFonts w:ascii="宋体" w:hAnsi="宋体"/>
                <w:sz w:val="18"/>
                <w:szCs w:val="18"/>
              </w:rPr>
            </w:pPr>
            <w:r>
              <w:rPr>
                <w:rFonts w:hint="eastAsia" w:ascii="宋体" w:hAnsi="宋体"/>
                <w:sz w:val="18"/>
                <w:szCs w:val="18"/>
              </w:rPr>
              <w:t>SDWAN：</w:t>
            </w:r>
          </w:p>
          <w:p>
            <w:pPr>
              <w:widowControl/>
              <w:jc w:val="left"/>
              <w:textAlignment w:val="center"/>
              <w:rPr>
                <w:rFonts w:ascii="宋体" w:hAnsi="宋体"/>
                <w:sz w:val="18"/>
                <w:szCs w:val="18"/>
              </w:rPr>
            </w:pPr>
            <w:r>
              <w:rPr>
                <w:rFonts w:hint="eastAsia" w:ascii="宋体" w:hAnsi="宋体"/>
                <w:sz w:val="18"/>
                <w:szCs w:val="18"/>
              </w:rPr>
              <w:t>能够支持全生命周期的SD-WAN整体解决方案，包括：自动化部署、链路双活、链路质量检测、隧道安全、控制器高可靠等功能，并出具中国信息通信研究院的SD-WAN Ready证书证明上述功能已通过测试。</w:t>
            </w:r>
          </w:p>
          <w:p>
            <w:pPr>
              <w:widowControl/>
              <w:jc w:val="left"/>
              <w:textAlignment w:val="center"/>
              <w:rPr>
                <w:rFonts w:ascii="宋体" w:hAnsi="宋体"/>
                <w:sz w:val="18"/>
                <w:szCs w:val="18"/>
              </w:rPr>
            </w:pPr>
            <w:r>
              <w:rPr>
                <w:rFonts w:hint="eastAsia" w:ascii="宋体" w:hAnsi="宋体"/>
                <w:sz w:val="18"/>
                <w:szCs w:val="18"/>
              </w:rPr>
              <w:t>支持SDWAN模式部署，可通过SDWAN控制器智能添加分支设备并生成ztp配置包，方便分支机构零配置U盘上线。</w:t>
            </w:r>
          </w:p>
          <w:p>
            <w:pPr>
              <w:widowControl/>
              <w:jc w:val="left"/>
              <w:textAlignment w:val="center"/>
              <w:rPr>
                <w:rFonts w:ascii="宋体" w:hAnsi="宋体"/>
                <w:sz w:val="18"/>
                <w:szCs w:val="18"/>
              </w:rPr>
            </w:pPr>
            <w:r>
              <w:rPr>
                <w:rFonts w:hint="eastAsia" w:ascii="宋体" w:hAnsi="宋体"/>
                <w:sz w:val="18"/>
                <w:szCs w:val="18"/>
              </w:rPr>
              <w:t>基本功能：</w:t>
            </w:r>
          </w:p>
          <w:p>
            <w:pPr>
              <w:widowControl/>
              <w:jc w:val="left"/>
              <w:textAlignment w:val="center"/>
              <w:rPr>
                <w:rFonts w:ascii="宋体" w:hAnsi="宋体"/>
                <w:sz w:val="18"/>
                <w:szCs w:val="18"/>
              </w:rPr>
            </w:pPr>
            <w:r>
              <w:rPr>
                <w:rFonts w:hint="eastAsia" w:ascii="宋体" w:hAnsi="宋体"/>
                <w:sz w:val="18"/>
                <w:szCs w:val="18"/>
              </w:rPr>
              <w:t>支持DHCPv6 ，静态路由、策略路由、RIPng、OSPFv3等IPv6协议。</w:t>
            </w:r>
          </w:p>
          <w:p>
            <w:pPr>
              <w:widowControl/>
              <w:jc w:val="left"/>
              <w:textAlignment w:val="center"/>
              <w:rPr>
                <w:rFonts w:ascii="宋体" w:hAnsi="宋体"/>
                <w:sz w:val="18"/>
                <w:szCs w:val="18"/>
              </w:rPr>
            </w:pPr>
            <w:r>
              <w:rPr>
                <w:rFonts w:hint="eastAsia" w:ascii="宋体" w:hAnsi="宋体"/>
                <w:sz w:val="18"/>
                <w:szCs w:val="18"/>
              </w:rPr>
              <w:t>支持隧道、DNS64/NAT64等多种过渡技术，</w:t>
            </w:r>
          </w:p>
          <w:p>
            <w:pPr>
              <w:widowControl/>
              <w:jc w:val="left"/>
              <w:textAlignment w:val="center"/>
              <w:rPr>
                <w:rFonts w:ascii="宋体" w:hAnsi="宋体"/>
                <w:sz w:val="18"/>
                <w:szCs w:val="18"/>
              </w:rPr>
            </w:pPr>
            <w:r>
              <w:rPr>
                <w:rFonts w:hint="eastAsia" w:ascii="宋体" w:hAnsi="宋体"/>
                <w:sz w:val="18"/>
                <w:szCs w:val="18"/>
              </w:rPr>
              <w:t>安全功能：</w:t>
            </w:r>
          </w:p>
          <w:p>
            <w:pPr>
              <w:widowControl/>
              <w:jc w:val="left"/>
              <w:textAlignment w:val="center"/>
              <w:rPr>
                <w:rFonts w:ascii="宋体" w:hAnsi="宋体"/>
                <w:sz w:val="18"/>
                <w:szCs w:val="18"/>
              </w:rPr>
            </w:pPr>
            <w:r>
              <w:rPr>
                <w:rFonts w:hint="eastAsia" w:ascii="宋体" w:hAnsi="宋体"/>
                <w:sz w:val="18"/>
                <w:szCs w:val="18"/>
              </w:rPr>
              <w:t>支持IPv6应用识别，访问控制，IPS攻击防护，AV防病毒。</w:t>
            </w:r>
          </w:p>
          <w:p>
            <w:pPr>
              <w:widowControl/>
              <w:jc w:val="left"/>
              <w:textAlignment w:val="center"/>
              <w:rPr>
                <w:rFonts w:ascii="宋体" w:hAnsi="宋体"/>
                <w:sz w:val="18"/>
                <w:szCs w:val="18"/>
              </w:rPr>
            </w:pPr>
            <w:r>
              <w:rPr>
                <w:rFonts w:hint="eastAsia" w:ascii="宋体" w:hAnsi="宋体"/>
                <w:sz w:val="18"/>
                <w:szCs w:val="18"/>
              </w:rPr>
              <w:t>监控功能：</w:t>
            </w:r>
          </w:p>
          <w:p>
            <w:pPr>
              <w:widowControl/>
              <w:jc w:val="left"/>
              <w:textAlignment w:val="center"/>
              <w:rPr>
                <w:rFonts w:ascii="宋体" w:hAnsi="宋体"/>
                <w:sz w:val="18"/>
                <w:szCs w:val="18"/>
              </w:rPr>
            </w:pPr>
            <w:r>
              <w:rPr>
                <w:rFonts w:hint="eastAsia" w:ascii="宋体" w:hAnsi="宋体"/>
                <w:sz w:val="18"/>
                <w:szCs w:val="18"/>
              </w:rPr>
              <w:t>支持IPv6用户的流量，会话，新建，应用监控统计集。</w:t>
            </w:r>
          </w:p>
          <w:p>
            <w:pPr>
              <w:widowControl/>
              <w:jc w:val="left"/>
              <w:textAlignment w:val="center"/>
              <w:rPr>
                <w:rFonts w:ascii="宋体" w:hAnsi="宋体"/>
                <w:sz w:val="18"/>
                <w:szCs w:val="18"/>
              </w:rPr>
            </w:pPr>
            <w:r>
              <w:rPr>
                <w:rFonts w:hint="eastAsia" w:ascii="宋体" w:hAnsi="宋体"/>
                <w:sz w:val="18"/>
                <w:szCs w:val="18"/>
              </w:rPr>
              <w:t>支持IPv6日志存储及标准syslog server</w:t>
            </w:r>
          </w:p>
          <w:p>
            <w:pPr>
              <w:widowControl/>
              <w:jc w:val="left"/>
              <w:textAlignment w:val="center"/>
              <w:rPr>
                <w:rFonts w:ascii="宋体" w:hAnsi="宋体"/>
                <w:sz w:val="18"/>
                <w:szCs w:val="18"/>
              </w:rPr>
            </w:pPr>
            <w:r>
              <w:rPr>
                <w:rFonts w:hint="eastAsia" w:ascii="宋体" w:hAnsi="宋体"/>
                <w:sz w:val="18"/>
                <w:szCs w:val="18"/>
              </w:rPr>
              <w:t>抗DDoS攻击：</w:t>
            </w:r>
          </w:p>
          <w:p>
            <w:pPr>
              <w:widowControl/>
              <w:jc w:val="left"/>
              <w:textAlignment w:val="center"/>
              <w:rPr>
                <w:rFonts w:ascii="宋体" w:hAnsi="宋体"/>
                <w:sz w:val="18"/>
                <w:szCs w:val="18"/>
              </w:rPr>
            </w:pPr>
            <w:r>
              <w:rPr>
                <w:rFonts w:hint="eastAsia" w:ascii="宋体" w:hAnsi="宋体"/>
                <w:sz w:val="18"/>
                <w:szCs w:val="18"/>
              </w:rPr>
              <w:t>支持抵御所列所有攻击类型，包括：DNS Query Flood、SYN Flood、UDP Flood、ICMP Flood等，动作支持记录、阻断两种模式。</w:t>
            </w:r>
          </w:p>
          <w:p>
            <w:pPr>
              <w:widowControl/>
              <w:jc w:val="left"/>
              <w:textAlignment w:val="center"/>
              <w:rPr>
                <w:rFonts w:ascii="宋体" w:hAnsi="宋体"/>
                <w:sz w:val="18"/>
                <w:szCs w:val="18"/>
              </w:rPr>
            </w:pPr>
            <w:r>
              <w:rPr>
                <w:rFonts w:hint="eastAsia" w:ascii="宋体" w:hAnsi="宋体"/>
                <w:sz w:val="18"/>
                <w:szCs w:val="18"/>
              </w:rPr>
              <w:t>ARP防护欺骗：</w:t>
            </w:r>
          </w:p>
          <w:p>
            <w:pPr>
              <w:widowControl/>
              <w:jc w:val="left"/>
              <w:textAlignment w:val="center"/>
              <w:rPr>
                <w:rFonts w:ascii="宋体" w:hAnsi="宋体"/>
                <w:sz w:val="18"/>
                <w:szCs w:val="18"/>
              </w:rPr>
            </w:pPr>
            <w:r>
              <w:rPr>
                <w:rFonts w:hint="eastAsia" w:ascii="宋体" w:hAnsi="宋体"/>
                <w:sz w:val="18"/>
                <w:szCs w:val="18"/>
              </w:rPr>
              <w:t>为了防御ARP攻击和ARP病毒，支持免费 ARP广播及ARP客户端认证，本次招标要求配置200台客户端授权。提供软、硬件协同防御ARP欺骗的界面截图或技术文档做证明。</w:t>
            </w:r>
          </w:p>
          <w:p>
            <w:pPr>
              <w:widowControl/>
              <w:jc w:val="left"/>
              <w:textAlignment w:val="center"/>
              <w:rPr>
                <w:rFonts w:ascii="宋体" w:hAnsi="宋体"/>
                <w:sz w:val="18"/>
                <w:szCs w:val="18"/>
              </w:rPr>
            </w:pPr>
            <w:r>
              <w:rPr>
                <w:rFonts w:hint="eastAsia" w:ascii="宋体" w:hAnsi="宋体"/>
                <w:sz w:val="18"/>
                <w:szCs w:val="18"/>
              </w:rPr>
              <w:t>策略运维：</w:t>
            </w:r>
          </w:p>
          <w:p>
            <w:pPr>
              <w:widowControl/>
              <w:jc w:val="left"/>
              <w:textAlignment w:val="center"/>
              <w:rPr>
                <w:rFonts w:ascii="宋体" w:hAnsi="宋体"/>
                <w:sz w:val="18"/>
                <w:szCs w:val="18"/>
              </w:rPr>
            </w:pPr>
            <w:r>
              <w:rPr>
                <w:rFonts w:hint="eastAsia" w:ascii="宋体" w:hAnsi="宋体"/>
                <w:sz w:val="18"/>
                <w:szCs w:val="18"/>
              </w:rPr>
              <w:t>支持防火墙策略命中数统计和策略的冗余性检查功能,便于管理员维护防火墙策略。</w:t>
            </w:r>
          </w:p>
          <w:p>
            <w:pPr>
              <w:widowControl/>
              <w:jc w:val="left"/>
              <w:textAlignment w:val="center"/>
              <w:rPr>
                <w:rFonts w:ascii="宋体" w:hAnsi="宋体"/>
                <w:sz w:val="18"/>
                <w:szCs w:val="18"/>
              </w:rPr>
            </w:pPr>
            <w:r>
              <w:rPr>
                <w:rFonts w:hint="eastAsia" w:ascii="宋体" w:hAnsi="宋体"/>
                <w:sz w:val="18"/>
                <w:szCs w:val="18"/>
              </w:rPr>
              <w:t>支持策略助手功能，聚合流量并生成细化的策略规则，辅助用户更快速、更准确和更完整的配置安全策略。</w:t>
            </w:r>
          </w:p>
          <w:p>
            <w:pPr>
              <w:widowControl/>
              <w:jc w:val="left"/>
              <w:textAlignment w:val="center"/>
              <w:rPr>
                <w:rFonts w:ascii="宋体" w:hAnsi="宋体"/>
                <w:sz w:val="18"/>
                <w:szCs w:val="18"/>
              </w:rPr>
            </w:pPr>
            <w:r>
              <w:rPr>
                <w:rFonts w:hint="eastAsia" w:ascii="宋体" w:hAnsi="宋体"/>
                <w:sz w:val="18"/>
                <w:szCs w:val="18"/>
              </w:rPr>
              <w:t>国家地理威胁信息库：</w:t>
            </w:r>
          </w:p>
          <w:p>
            <w:pPr>
              <w:widowControl/>
              <w:jc w:val="left"/>
              <w:textAlignment w:val="center"/>
              <w:rPr>
                <w:rFonts w:ascii="宋体" w:hAnsi="宋体"/>
                <w:sz w:val="18"/>
                <w:szCs w:val="18"/>
              </w:rPr>
            </w:pPr>
            <w:r>
              <w:rPr>
                <w:rFonts w:hint="eastAsia" w:ascii="宋体" w:hAnsi="宋体"/>
                <w:sz w:val="18"/>
                <w:szCs w:val="18"/>
              </w:rPr>
              <w:t>支持基于国家地理位置设置安全策略，内置国家地理威胁信息库。</w:t>
            </w:r>
          </w:p>
          <w:p>
            <w:pPr>
              <w:widowControl/>
              <w:jc w:val="left"/>
              <w:textAlignment w:val="center"/>
              <w:rPr>
                <w:rFonts w:ascii="宋体" w:hAnsi="宋体"/>
                <w:sz w:val="18"/>
                <w:szCs w:val="18"/>
              </w:rPr>
            </w:pPr>
            <w:r>
              <w:rPr>
                <w:rFonts w:hint="eastAsia" w:ascii="宋体" w:hAnsi="宋体"/>
                <w:sz w:val="18"/>
                <w:szCs w:val="18"/>
              </w:rPr>
              <w:t>应用协议智能：识别：</w:t>
            </w:r>
          </w:p>
          <w:p>
            <w:pPr>
              <w:widowControl/>
              <w:jc w:val="left"/>
              <w:textAlignment w:val="center"/>
              <w:rPr>
                <w:rFonts w:ascii="宋体" w:hAnsi="宋体"/>
                <w:sz w:val="18"/>
                <w:szCs w:val="18"/>
              </w:rPr>
            </w:pPr>
            <w:r>
              <w:rPr>
                <w:rFonts w:hint="eastAsia" w:ascii="宋体" w:hAnsi="宋体"/>
                <w:sz w:val="18"/>
                <w:szCs w:val="18"/>
              </w:rPr>
              <w:t>支持对3000+种应用的识别和控制</w:t>
            </w:r>
          </w:p>
          <w:p>
            <w:pPr>
              <w:widowControl/>
              <w:jc w:val="left"/>
              <w:textAlignment w:val="center"/>
              <w:rPr>
                <w:rFonts w:ascii="宋体" w:hAnsi="宋体"/>
                <w:sz w:val="18"/>
                <w:szCs w:val="18"/>
              </w:rPr>
            </w:pPr>
            <w:r>
              <w:rPr>
                <w:rFonts w:hint="eastAsia" w:ascii="宋体" w:hAnsi="宋体"/>
                <w:sz w:val="18"/>
                <w:szCs w:val="18"/>
              </w:rPr>
              <w:t>支持应用过滤器便于配置和维护，至少支持6个维度进行过滤，包括：名称、类别、子类、应用技术、风险界别、特性。</w:t>
            </w:r>
          </w:p>
          <w:p>
            <w:pPr>
              <w:widowControl/>
              <w:jc w:val="left"/>
              <w:textAlignment w:val="center"/>
              <w:rPr>
                <w:rFonts w:ascii="宋体" w:hAnsi="宋体"/>
                <w:sz w:val="18"/>
                <w:szCs w:val="18"/>
              </w:rPr>
            </w:pPr>
            <w:r>
              <w:rPr>
                <w:rFonts w:hint="eastAsia" w:ascii="宋体" w:hAnsi="宋体"/>
                <w:sz w:val="18"/>
                <w:szCs w:val="18"/>
              </w:rPr>
              <w:t>防私接：</w:t>
            </w:r>
          </w:p>
          <w:p>
            <w:pPr>
              <w:widowControl/>
              <w:jc w:val="left"/>
              <w:textAlignment w:val="center"/>
              <w:rPr>
                <w:rFonts w:ascii="宋体" w:hAnsi="宋体"/>
                <w:sz w:val="18"/>
                <w:szCs w:val="18"/>
              </w:rPr>
            </w:pPr>
            <w:r>
              <w:rPr>
                <w:rFonts w:hint="eastAsia" w:ascii="宋体" w:hAnsi="宋体"/>
                <w:sz w:val="18"/>
                <w:szCs w:val="18"/>
              </w:rPr>
              <w:t>具有防私接功能，可识别共享上网终端的数量、操作系统类型（包括windows、IOS、Android）</w:t>
            </w:r>
          </w:p>
          <w:p>
            <w:pPr>
              <w:widowControl/>
              <w:jc w:val="left"/>
              <w:textAlignment w:val="center"/>
              <w:rPr>
                <w:rFonts w:ascii="宋体" w:hAnsi="宋体"/>
                <w:sz w:val="18"/>
                <w:szCs w:val="18"/>
              </w:rPr>
            </w:pPr>
            <w:r>
              <w:rPr>
                <w:rFonts w:hint="eastAsia" w:ascii="宋体" w:hAnsi="宋体"/>
                <w:sz w:val="18"/>
                <w:szCs w:val="18"/>
              </w:rPr>
              <w:t>可针对共享接入的IP进行终端准入管理，设置最大终端数，并支持阻断超限IP接入。</w:t>
            </w:r>
          </w:p>
          <w:p>
            <w:pPr>
              <w:widowControl/>
              <w:jc w:val="left"/>
              <w:textAlignment w:val="center"/>
              <w:rPr>
                <w:rFonts w:ascii="宋体" w:hAnsi="宋体"/>
                <w:sz w:val="18"/>
                <w:szCs w:val="18"/>
              </w:rPr>
            </w:pPr>
            <w:r>
              <w:rPr>
                <w:rFonts w:hint="eastAsia" w:ascii="宋体" w:hAnsi="宋体"/>
                <w:sz w:val="18"/>
                <w:szCs w:val="18"/>
              </w:rPr>
              <w:t>链路负载：</w:t>
            </w:r>
          </w:p>
          <w:p>
            <w:pPr>
              <w:widowControl/>
              <w:jc w:val="left"/>
              <w:textAlignment w:val="center"/>
              <w:rPr>
                <w:rFonts w:ascii="宋体" w:hAnsi="宋体"/>
                <w:sz w:val="18"/>
                <w:szCs w:val="18"/>
              </w:rPr>
            </w:pPr>
            <w:r>
              <w:rPr>
                <w:rFonts w:hint="eastAsia" w:ascii="宋体" w:hAnsi="宋体"/>
                <w:sz w:val="18"/>
                <w:szCs w:val="18"/>
              </w:rPr>
              <w:t>支持SmartDNS功能；注：SMARTDNS功能实现当外部用户访问内部服务器时，联通用户解析到的域名IP为联通地址，电信用户解析到的域名IP为电信地址。</w:t>
            </w:r>
          </w:p>
          <w:p>
            <w:pPr>
              <w:widowControl/>
              <w:jc w:val="left"/>
              <w:textAlignment w:val="center"/>
              <w:rPr>
                <w:rFonts w:ascii="宋体" w:hAnsi="宋体"/>
                <w:sz w:val="18"/>
                <w:szCs w:val="18"/>
              </w:rPr>
            </w:pPr>
            <w:r>
              <w:rPr>
                <w:rFonts w:hint="eastAsia" w:ascii="宋体" w:hAnsi="宋体"/>
                <w:sz w:val="18"/>
                <w:szCs w:val="18"/>
              </w:rPr>
              <w:t>支持就近探测算法（根据SYN报文探测的响应时间和PING报文探测的响应时间等方法自动生成静态路由表，并将探测的响应时间生成日志）选择最优路径。</w:t>
            </w:r>
          </w:p>
          <w:p>
            <w:pPr>
              <w:widowControl/>
              <w:jc w:val="left"/>
              <w:textAlignment w:val="center"/>
              <w:rPr>
                <w:rFonts w:ascii="宋体" w:hAnsi="宋体"/>
                <w:sz w:val="18"/>
                <w:szCs w:val="18"/>
              </w:rPr>
            </w:pPr>
            <w:r>
              <w:rPr>
                <w:rFonts w:hint="eastAsia" w:ascii="宋体" w:hAnsi="宋体"/>
                <w:sz w:val="18"/>
                <w:szCs w:val="18"/>
              </w:rPr>
              <w:t>支持基于链路使用率和时延进行链路切换，提升出口的访问效率。</w:t>
            </w:r>
          </w:p>
          <w:p>
            <w:pPr>
              <w:widowControl/>
              <w:jc w:val="left"/>
              <w:textAlignment w:val="center"/>
              <w:rPr>
                <w:rFonts w:ascii="宋体" w:hAnsi="宋体"/>
                <w:sz w:val="18"/>
                <w:szCs w:val="18"/>
              </w:rPr>
            </w:pPr>
            <w:r>
              <w:rPr>
                <w:rFonts w:hint="eastAsia" w:ascii="宋体" w:hAnsi="宋体"/>
                <w:sz w:val="18"/>
                <w:szCs w:val="18"/>
              </w:rPr>
              <w:t>服务器负载：</w:t>
            </w:r>
          </w:p>
          <w:p>
            <w:pPr>
              <w:widowControl/>
              <w:jc w:val="left"/>
              <w:textAlignment w:val="center"/>
              <w:rPr>
                <w:rFonts w:ascii="宋体" w:hAnsi="宋体"/>
                <w:sz w:val="18"/>
                <w:szCs w:val="18"/>
              </w:rPr>
            </w:pPr>
            <w:r>
              <w:rPr>
                <w:rFonts w:hint="eastAsia" w:ascii="宋体" w:hAnsi="宋体"/>
                <w:sz w:val="18"/>
                <w:szCs w:val="18"/>
              </w:rPr>
              <w:t>支持服务器的负载均衡，提供加权轮询、加权最小连接数、加权散列等多种负载均衡方式。</w:t>
            </w:r>
          </w:p>
          <w:p>
            <w:pPr>
              <w:widowControl/>
              <w:jc w:val="left"/>
              <w:textAlignment w:val="center"/>
              <w:rPr>
                <w:rFonts w:ascii="宋体" w:hAnsi="宋体"/>
                <w:sz w:val="18"/>
                <w:szCs w:val="18"/>
              </w:rPr>
            </w:pPr>
            <w:r>
              <w:rPr>
                <w:rFonts w:hint="eastAsia" w:ascii="宋体" w:hAnsi="宋体"/>
                <w:sz w:val="18"/>
                <w:szCs w:val="18"/>
              </w:rPr>
              <w:t>用户认证：</w:t>
            </w:r>
          </w:p>
          <w:p>
            <w:pPr>
              <w:widowControl/>
              <w:jc w:val="left"/>
              <w:textAlignment w:val="center"/>
              <w:rPr>
                <w:rFonts w:ascii="宋体" w:hAnsi="宋体"/>
                <w:sz w:val="18"/>
                <w:szCs w:val="18"/>
              </w:rPr>
            </w:pPr>
            <w:r>
              <w:rPr>
                <w:rFonts w:hint="eastAsia" w:ascii="宋体" w:hAnsi="宋体"/>
                <w:sz w:val="18"/>
                <w:szCs w:val="18"/>
              </w:rPr>
              <w:t>支持硬件USB-key的认证方式，支持用户名/密码+数字证书、数字证书等证书认证方式，支持匹配证书的CN、OU等主题名字检查。</w:t>
            </w:r>
          </w:p>
          <w:p>
            <w:pPr>
              <w:widowControl/>
              <w:jc w:val="left"/>
              <w:textAlignment w:val="center"/>
              <w:rPr>
                <w:rFonts w:ascii="宋体" w:hAnsi="宋体"/>
                <w:sz w:val="18"/>
                <w:szCs w:val="18"/>
              </w:rPr>
            </w:pPr>
            <w:r>
              <w:rPr>
                <w:rFonts w:hint="eastAsia" w:ascii="宋体" w:hAnsi="宋体"/>
                <w:sz w:val="18"/>
                <w:szCs w:val="18"/>
              </w:rPr>
              <w:t>客户端检测：</w:t>
            </w:r>
          </w:p>
          <w:p>
            <w:pPr>
              <w:widowControl/>
              <w:jc w:val="left"/>
              <w:textAlignment w:val="center"/>
              <w:rPr>
                <w:rFonts w:ascii="宋体" w:hAnsi="宋体"/>
                <w:sz w:val="18"/>
                <w:szCs w:val="18"/>
              </w:rPr>
            </w:pPr>
            <w:r>
              <w:rPr>
                <w:rFonts w:hint="eastAsia" w:ascii="宋体" w:hAnsi="宋体"/>
                <w:sz w:val="18"/>
                <w:szCs w:val="18"/>
              </w:rPr>
              <w:t>支持对登录SSL VPN的用户端系统进行端点安全检查，至少包括文件路径、运行进程、安装服务、运行服务、防火墙设置等方面。</w:t>
            </w:r>
          </w:p>
          <w:p>
            <w:pPr>
              <w:widowControl/>
              <w:jc w:val="left"/>
              <w:textAlignment w:val="center"/>
              <w:rPr>
                <w:rFonts w:ascii="宋体" w:hAnsi="宋体"/>
                <w:sz w:val="18"/>
                <w:szCs w:val="18"/>
              </w:rPr>
            </w:pPr>
            <w:r>
              <w:rPr>
                <w:rFonts w:hint="eastAsia" w:ascii="宋体" w:hAnsi="宋体"/>
                <w:sz w:val="18"/>
                <w:szCs w:val="18"/>
              </w:rPr>
              <w:t>智能流量管理：</w:t>
            </w:r>
          </w:p>
          <w:p>
            <w:pPr>
              <w:widowControl/>
              <w:jc w:val="left"/>
              <w:textAlignment w:val="center"/>
              <w:rPr>
                <w:rFonts w:ascii="宋体" w:hAnsi="宋体"/>
                <w:sz w:val="18"/>
                <w:szCs w:val="18"/>
              </w:rPr>
            </w:pPr>
            <w:r>
              <w:rPr>
                <w:rFonts w:hint="eastAsia" w:ascii="宋体" w:hAnsi="宋体"/>
                <w:sz w:val="18"/>
                <w:szCs w:val="18"/>
              </w:rPr>
              <w:t>支持两层八级管道嵌套。</w:t>
            </w:r>
          </w:p>
          <w:p>
            <w:pPr>
              <w:widowControl/>
              <w:jc w:val="left"/>
              <w:textAlignment w:val="center"/>
              <w:rPr>
                <w:rFonts w:ascii="宋体" w:hAnsi="宋体"/>
                <w:sz w:val="18"/>
                <w:szCs w:val="18"/>
              </w:rPr>
            </w:pPr>
            <w:r>
              <w:rPr>
                <w:rFonts w:hint="eastAsia" w:ascii="宋体" w:hAnsi="宋体"/>
                <w:sz w:val="18"/>
                <w:szCs w:val="18"/>
              </w:rPr>
              <w:t>支持带宽平均分配功能，可根据在线用户数动态均分现有带宽资源</w:t>
            </w:r>
          </w:p>
          <w:p>
            <w:pPr>
              <w:widowControl/>
              <w:jc w:val="left"/>
              <w:textAlignment w:val="center"/>
              <w:rPr>
                <w:rFonts w:ascii="宋体" w:hAnsi="宋体"/>
                <w:sz w:val="18"/>
                <w:szCs w:val="18"/>
              </w:rPr>
            </w:pPr>
            <w:r>
              <w:rPr>
                <w:rFonts w:hint="eastAsia" w:ascii="宋体" w:hAnsi="宋体"/>
                <w:sz w:val="18"/>
                <w:szCs w:val="18"/>
              </w:rPr>
              <w:t>配额管理：</w:t>
            </w:r>
          </w:p>
          <w:p>
            <w:pPr>
              <w:widowControl/>
              <w:jc w:val="left"/>
              <w:textAlignment w:val="center"/>
              <w:rPr>
                <w:rFonts w:ascii="宋体" w:hAnsi="宋体"/>
                <w:sz w:val="18"/>
                <w:szCs w:val="18"/>
              </w:rPr>
            </w:pPr>
            <w:r>
              <w:rPr>
                <w:rFonts w:hint="eastAsia" w:ascii="宋体" w:hAnsi="宋体"/>
                <w:sz w:val="18"/>
                <w:szCs w:val="18"/>
              </w:rPr>
              <w:t>支持根据流量配额进行管理，当用户流量达到日配额或月配额时，自动阻断用户的流量。</w:t>
            </w:r>
          </w:p>
          <w:p>
            <w:pPr>
              <w:widowControl/>
              <w:jc w:val="left"/>
              <w:textAlignment w:val="center"/>
              <w:rPr>
                <w:rFonts w:ascii="宋体" w:hAnsi="宋体"/>
                <w:sz w:val="18"/>
                <w:szCs w:val="18"/>
              </w:rPr>
            </w:pPr>
            <w:r>
              <w:rPr>
                <w:rFonts w:hint="eastAsia" w:ascii="宋体" w:hAnsi="宋体"/>
                <w:sz w:val="18"/>
                <w:szCs w:val="18"/>
              </w:rPr>
              <w:t>上网行为管理：</w:t>
            </w:r>
          </w:p>
          <w:p>
            <w:pPr>
              <w:widowControl/>
              <w:jc w:val="left"/>
              <w:textAlignment w:val="center"/>
              <w:rPr>
                <w:rFonts w:ascii="宋体" w:hAnsi="宋体"/>
                <w:sz w:val="18"/>
                <w:szCs w:val="18"/>
              </w:rPr>
            </w:pPr>
            <w:r>
              <w:rPr>
                <w:rFonts w:hint="eastAsia" w:ascii="宋体" w:hAnsi="宋体"/>
                <w:sz w:val="18"/>
                <w:szCs w:val="18"/>
              </w:rPr>
              <w:t>支持30种以上域名分类库，控制不良网站访问，支持查询URL归属的URL分类库。</w:t>
            </w:r>
          </w:p>
          <w:p>
            <w:pPr>
              <w:widowControl/>
              <w:jc w:val="left"/>
              <w:textAlignment w:val="center"/>
              <w:rPr>
                <w:rFonts w:ascii="宋体" w:hAnsi="宋体"/>
                <w:sz w:val="18"/>
                <w:szCs w:val="18"/>
              </w:rPr>
            </w:pPr>
            <w:r>
              <w:rPr>
                <w:rFonts w:hint="eastAsia" w:ascii="宋体" w:hAnsi="宋体"/>
                <w:sz w:val="18"/>
                <w:szCs w:val="18"/>
              </w:rPr>
              <w:t>支持自定义URL阻止访问的告警页面。</w:t>
            </w:r>
          </w:p>
          <w:p>
            <w:pPr>
              <w:widowControl/>
              <w:jc w:val="left"/>
              <w:textAlignment w:val="center"/>
              <w:rPr>
                <w:rFonts w:ascii="宋体" w:hAnsi="宋体"/>
                <w:sz w:val="18"/>
                <w:szCs w:val="18"/>
              </w:rPr>
            </w:pPr>
            <w:r>
              <w:rPr>
                <w:rFonts w:hint="eastAsia" w:ascii="宋体" w:hAnsi="宋体"/>
                <w:sz w:val="18"/>
                <w:szCs w:val="18"/>
              </w:rPr>
              <w:t>应用层防护：</w:t>
            </w:r>
          </w:p>
          <w:p>
            <w:pPr>
              <w:widowControl/>
              <w:jc w:val="left"/>
              <w:textAlignment w:val="center"/>
              <w:rPr>
                <w:rFonts w:ascii="宋体" w:hAnsi="宋体"/>
                <w:sz w:val="18"/>
                <w:szCs w:val="18"/>
              </w:rPr>
            </w:pPr>
            <w:r>
              <w:rPr>
                <w:rFonts w:hint="eastAsia" w:ascii="宋体" w:hAnsi="宋体"/>
                <w:sz w:val="18"/>
                <w:szCs w:val="18"/>
              </w:rPr>
              <w:t>可以保护服务器免受基于Web应用的攻击，如SQL注入防护、XSS攻击防护、木马后门、暴力破解；</w:t>
            </w:r>
          </w:p>
          <w:p>
            <w:pPr>
              <w:widowControl/>
              <w:jc w:val="left"/>
              <w:textAlignment w:val="center"/>
              <w:rPr>
                <w:rFonts w:ascii="宋体" w:hAnsi="宋体"/>
                <w:sz w:val="18"/>
                <w:szCs w:val="18"/>
              </w:rPr>
            </w:pPr>
            <w:r>
              <w:rPr>
                <w:rFonts w:hint="eastAsia" w:ascii="宋体" w:hAnsi="宋体"/>
                <w:sz w:val="18"/>
                <w:szCs w:val="18"/>
              </w:rPr>
              <w:t>特征库：</w:t>
            </w:r>
          </w:p>
          <w:p>
            <w:pPr>
              <w:widowControl/>
              <w:jc w:val="left"/>
              <w:textAlignment w:val="center"/>
              <w:rPr>
                <w:rFonts w:ascii="宋体" w:hAnsi="宋体"/>
                <w:sz w:val="18"/>
                <w:szCs w:val="18"/>
              </w:rPr>
            </w:pPr>
            <w:r>
              <w:rPr>
                <w:rFonts w:hint="eastAsia" w:ascii="宋体" w:hAnsi="宋体"/>
                <w:sz w:val="18"/>
                <w:szCs w:val="18"/>
              </w:rPr>
              <w:t>具备8000种以上攻击特征库规则列表，至少支持基于协议类型、操作系统、攻击类型、流行程度、严重程度、特征ID等方式的查询。</w:t>
            </w:r>
          </w:p>
          <w:p>
            <w:pPr>
              <w:widowControl/>
              <w:jc w:val="left"/>
              <w:textAlignment w:val="center"/>
              <w:rPr>
                <w:rFonts w:ascii="宋体" w:hAnsi="宋体"/>
                <w:sz w:val="18"/>
                <w:szCs w:val="18"/>
              </w:rPr>
            </w:pPr>
            <w:r>
              <w:rPr>
                <w:rFonts w:hint="eastAsia" w:ascii="宋体" w:hAnsi="宋体"/>
                <w:sz w:val="18"/>
                <w:szCs w:val="18"/>
              </w:rPr>
              <w:t>Web安全防护：</w:t>
            </w:r>
          </w:p>
          <w:p>
            <w:pPr>
              <w:widowControl/>
              <w:jc w:val="left"/>
              <w:textAlignment w:val="center"/>
              <w:rPr>
                <w:rFonts w:ascii="宋体" w:hAnsi="宋体"/>
                <w:sz w:val="18"/>
                <w:szCs w:val="18"/>
              </w:rPr>
            </w:pPr>
            <w:r>
              <w:rPr>
                <w:rFonts w:hint="eastAsia" w:ascii="宋体" w:hAnsi="宋体"/>
                <w:sz w:val="18"/>
                <w:szCs w:val="18"/>
              </w:rPr>
              <w:t>支持SQL注入、XSS防护，支持HTTP头域中的URL、Cookie、Referer、POST检查点配置防护策略。</w:t>
            </w:r>
          </w:p>
          <w:p>
            <w:pPr>
              <w:widowControl/>
              <w:jc w:val="left"/>
              <w:textAlignment w:val="center"/>
              <w:rPr>
                <w:rFonts w:ascii="宋体" w:hAnsi="宋体"/>
                <w:sz w:val="18"/>
                <w:szCs w:val="18"/>
              </w:rPr>
            </w:pPr>
            <w:r>
              <w:rPr>
                <w:rFonts w:hint="eastAsia" w:ascii="宋体" w:hAnsi="宋体"/>
                <w:sz w:val="18"/>
                <w:szCs w:val="18"/>
              </w:rPr>
              <w:t>支持外链检查防护，支持自定义外链特性，类型支持HTTP、HTTPS、FTP。</w:t>
            </w:r>
          </w:p>
          <w:p>
            <w:pPr>
              <w:widowControl/>
              <w:jc w:val="left"/>
              <w:textAlignment w:val="center"/>
              <w:rPr>
                <w:rFonts w:ascii="宋体" w:hAnsi="宋体"/>
                <w:sz w:val="18"/>
                <w:szCs w:val="18"/>
              </w:rPr>
            </w:pPr>
            <w:r>
              <w:rPr>
                <w:rFonts w:hint="eastAsia" w:ascii="宋体" w:hAnsi="宋体"/>
                <w:sz w:val="18"/>
                <w:szCs w:val="18"/>
              </w:rPr>
              <w:t>病毒库：</w:t>
            </w:r>
          </w:p>
          <w:p>
            <w:pPr>
              <w:widowControl/>
              <w:jc w:val="left"/>
              <w:textAlignment w:val="center"/>
              <w:rPr>
                <w:rFonts w:ascii="宋体" w:hAnsi="宋体"/>
                <w:sz w:val="18"/>
                <w:szCs w:val="18"/>
              </w:rPr>
            </w:pPr>
            <w:r>
              <w:rPr>
                <w:rFonts w:hint="eastAsia" w:ascii="宋体" w:hAnsi="宋体"/>
                <w:sz w:val="18"/>
                <w:szCs w:val="18"/>
              </w:rPr>
              <w:t>内置病毒特征库，采用知名厂商的病毒特征库。病毒特征库为独立文件，支持自动更新和手动更新模式</w:t>
            </w:r>
          </w:p>
          <w:p>
            <w:pPr>
              <w:widowControl/>
              <w:jc w:val="left"/>
              <w:textAlignment w:val="center"/>
              <w:rPr>
                <w:rFonts w:ascii="宋体" w:hAnsi="宋体"/>
                <w:sz w:val="18"/>
                <w:szCs w:val="18"/>
              </w:rPr>
            </w:pPr>
            <w:r>
              <w:rPr>
                <w:rFonts w:hint="eastAsia" w:ascii="宋体" w:hAnsi="宋体"/>
                <w:sz w:val="18"/>
                <w:szCs w:val="18"/>
              </w:rPr>
              <w:t>处理方式：</w:t>
            </w:r>
          </w:p>
          <w:p>
            <w:pPr>
              <w:widowControl/>
              <w:jc w:val="left"/>
              <w:textAlignment w:val="center"/>
              <w:rPr>
                <w:rFonts w:ascii="宋体" w:hAnsi="宋体"/>
                <w:sz w:val="18"/>
                <w:szCs w:val="18"/>
              </w:rPr>
            </w:pPr>
            <w:r>
              <w:rPr>
                <w:rFonts w:hint="eastAsia" w:ascii="宋体" w:hAnsi="宋体"/>
                <w:sz w:val="18"/>
                <w:szCs w:val="18"/>
              </w:rPr>
              <w:t>检测到病毒扫描和恶意网站时，至少支持填充、重置连接、只记录日志三种处理方式</w:t>
            </w:r>
          </w:p>
          <w:p>
            <w:pPr>
              <w:widowControl/>
              <w:jc w:val="left"/>
              <w:textAlignment w:val="center"/>
              <w:rPr>
                <w:rFonts w:ascii="宋体" w:hAnsi="宋体"/>
                <w:sz w:val="18"/>
                <w:szCs w:val="18"/>
              </w:rPr>
            </w:pPr>
            <w:r>
              <w:rPr>
                <w:rFonts w:hint="eastAsia" w:ascii="宋体" w:hAnsi="宋体"/>
                <w:sz w:val="18"/>
                <w:szCs w:val="18"/>
              </w:rPr>
              <w:t>云沙箱平台对接：</w:t>
            </w:r>
          </w:p>
          <w:p>
            <w:pPr>
              <w:widowControl/>
              <w:jc w:val="left"/>
              <w:textAlignment w:val="center"/>
              <w:rPr>
                <w:rFonts w:ascii="宋体" w:hAnsi="宋体"/>
                <w:sz w:val="18"/>
                <w:szCs w:val="18"/>
              </w:rPr>
            </w:pPr>
            <w:r>
              <w:rPr>
                <w:rFonts w:hint="eastAsia" w:ascii="宋体" w:hAnsi="宋体"/>
                <w:sz w:val="18"/>
                <w:szCs w:val="18"/>
              </w:rPr>
              <w:t>支持扩展云端沙箱技术，可将可疑文件提交云端沙箱进行安全模拟运行，并根据运行结果与防火墙实现联动。</w:t>
            </w:r>
          </w:p>
          <w:p>
            <w:pPr>
              <w:widowControl/>
              <w:jc w:val="left"/>
              <w:textAlignment w:val="center"/>
              <w:rPr>
                <w:rFonts w:ascii="宋体" w:hAnsi="宋体"/>
                <w:sz w:val="18"/>
                <w:szCs w:val="18"/>
              </w:rPr>
            </w:pPr>
            <w:r>
              <w:rPr>
                <w:rFonts w:hint="eastAsia" w:ascii="宋体" w:hAnsi="宋体"/>
                <w:sz w:val="18"/>
                <w:szCs w:val="18"/>
              </w:rPr>
              <w:t>僵尸网络防护：</w:t>
            </w:r>
          </w:p>
          <w:p>
            <w:pPr>
              <w:widowControl/>
              <w:jc w:val="left"/>
              <w:textAlignment w:val="center"/>
              <w:rPr>
                <w:rFonts w:ascii="宋体" w:hAnsi="宋体"/>
                <w:sz w:val="18"/>
                <w:szCs w:val="18"/>
              </w:rPr>
            </w:pPr>
            <w:r>
              <w:rPr>
                <w:rFonts w:hint="eastAsia" w:ascii="宋体" w:hAnsi="宋体"/>
                <w:sz w:val="18"/>
                <w:szCs w:val="18"/>
              </w:rPr>
              <w:t>支持扩展僵尸网络防御服务，支持扫描TCP/HTTP/DNS协议流量并进行C&amp;C检测。</w:t>
            </w:r>
          </w:p>
          <w:p>
            <w:pPr>
              <w:widowControl/>
              <w:jc w:val="left"/>
              <w:textAlignment w:val="center"/>
              <w:rPr>
                <w:rFonts w:ascii="宋体" w:hAnsi="宋体"/>
                <w:sz w:val="18"/>
                <w:szCs w:val="18"/>
              </w:rPr>
            </w:pPr>
            <w:r>
              <w:rPr>
                <w:rFonts w:hint="eastAsia" w:ascii="宋体" w:hAnsi="宋体"/>
                <w:sz w:val="18"/>
                <w:szCs w:val="18"/>
              </w:rPr>
              <w:t>IP信誉库：</w:t>
            </w:r>
          </w:p>
          <w:p>
            <w:pPr>
              <w:widowControl/>
              <w:jc w:val="left"/>
              <w:textAlignment w:val="center"/>
              <w:rPr>
                <w:rFonts w:ascii="宋体" w:hAnsi="宋体"/>
                <w:sz w:val="18"/>
                <w:szCs w:val="18"/>
              </w:rPr>
            </w:pPr>
            <w:r>
              <w:rPr>
                <w:rFonts w:hint="eastAsia" w:ascii="宋体" w:hAnsi="宋体"/>
                <w:sz w:val="18"/>
                <w:szCs w:val="18"/>
              </w:rPr>
              <w:t>支持扩展IP信誉库功能，对僵尸肉鸡、垃圾邮件发送者、Tor节点、失陷主机、暴力破解等风险IP的流量进行识别和过滤。IP信誉特征库支持在线升级更新。</w:t>
            </w:r>
          </w:p>
          <w:p>
            <w:pPr>
              <w:widowControl/>
              <w:jc w:val="left"/>
              <w:textAlignment w:val="center"/>
              <w:rPr>
                <w:rFonts w:ascii="宋体" w:hAnsi="宋体"/>
                <w:sz w:val="18"/>
                <w:szCs w:val="18"/>
              </w:rPr>
            </w:pPr>
            <w:r>
              <w:rPr>
                <w:rFonts w:hint="eastAsia" w:ascii="宋体" w:hAnsi="宋体"/>
                <w:sz w:val="18"/>
                <w:szCs w:val="18"/>
              </w:rPr>
              <w:t>系统回滚：</w:t>
            </w:r>
          </w:p>
          <w:p>
            <w:pPr>
              <w:widowControl/>
              <w:jc w:val="left"/>
              <w:textAlignment w:val="center"/>
              <w:rPr>
                <w:rFonts w:ascii="宋体" w:hAnsi="宋体"/>
                <w:sz w:val="18"/>
                <w:szCs w:val="18"/>
              </w:rPr>
            </w:pPr>
            <w:r>
              <w:rPr>
                <w:rFonts w:hint="eastAsia" w:ascii="宋体" w:hAnsi="宋体"/>
                <w:sz w:val="18"/>
                <w:szCs w:val="18"/>
              </w:rPr>
              <w:t>支持2个系统软件并存，并可在WEB界面上直接配置启动顺序，支持不少于10个配置文件并存，并支持回滚。</w:t>
            </w:r>
          </w:p>
          <w:p>
            <w:pPr>
              <w:widowControl/>
              <w:jc w:val="left"/>
              <w:textAlignment w:val="center"/>
              <w:rPr>
                <w:rFonts w:ascii="宋体" w:hAnsi="宋体"/>
                <w:sz w:val="18"/>
                <w:szCs w:val="18"/>
              </w:rPr>
            </w:pPr>
            <w:r>
              <w:rPr>
                <w:rFonts w:hint="eastAsia" w:ascii="宋体" w:hAnsi="宋体"/>
                <w:sz w:val="18"/>
                <w:szCs w:val="18"/>
              </w:rPr>
              <w:t>云端SaaS管理平台对接 ：</w:t>
            </w:r>
          </w:p>
          <w:p>
            <w:pPr>
              <w:widowControl/>
              <w:jc w:val="left"/>
              <w:textAlignment w:val="center"/>
              <w:rPr>
                <w:rFonts w:ascii="宋体" w:hAnsi="宋体"/>
                <w:sz w:val="18"/>
                <w:szCs w:val="18"/>
              </w:rPr>
            </w:pPr>
            <w:r>
              <w:rPr>
                <w:rFonts w:hint="eastAsia" w:ascii="宋体" w:hAnsi="宋体"/>
                <w:sz w:val="18"/>
                <w:szCs w:val="18"/>
              </w:rPr>
              <w:t>支持通过云端SaaS管理平台为用户提供便捷、高质量以及低成本的增值安全服务，要求通过手机 APP能够实时监控防火墙等设备的状态、网络流量、威胁等信息，及时获得告警，并提供丰富的报表和日志托管能力。</w:t>
            </w:r>
          </w:p>
          <w:p>
            <w:pPr>
              <w:widowControl/>
              <w:jc w:val="left"/>
              <w:textAlignment w:val="center"/>
              <w:rPr>
                <w:rFonts w:ascii="宋体" w:hAnsi="宋体"/>
                <w:sz w:val="18"/>
                <w:szCs w:val="18"/>
              </w:rPr>
            </w:pPr>
            <w:r>
              <w:rPr>
                <w:rFonts w:hint="eastAsia" w:ascii="宋体" w:hAnsi="宋体"/>
                <w:sz w:val="18"/>
                <w:szCs w:val="18"/>
              </w:rPr>
              <w:t>CLI命令行配置：</w:t>
            </w:r>
          </w:p>
          <w:p>
            <w:pPr>
              <w:widowControl/>
              <w:jc w:val="left"/>
              <w:textAlignment w:val="center"/>
              <w:rPr>
                <w:rFonts w:ascii="宋体" w:hAnsi="宋体"/>
                <w:sz w:val="18"/>
                <w:szCs w:val="18"/>
              </w:rPr>
            </w:pPr>
            <w:r>
              <w:rPr>
                <w:rFonts w:hint="eastAsia" w:ascii="宋体" w:hAnsi="宋体"/>
                <w:sz w:val="18"/>
                <w:szCs w:val="18"/>
              </w:rPr>
              <w:t>产品必须支持全功能CLI（SSH、TELNET、CONSOLE等方式）命令配置，以方便快速进行脚本操作和故障调试，且CLI配置必须支持中文输入，支持通过CLI配置接口、路由、安全策略等功能模块。</w:t>
            </w:r>
          </w:p>
          <w:p>
            <w:pPr>
              <w:widowControl/>
              <w:jc w:val="left"/>
              <w:textAlignment w:val="center"/>
              <w:rPr>
                <w:rFonts w:ascii="宋体" w:hAnsi="宋体"/>
                <w:sz w:val="18"/>
                <w:szCs w:val="18"/>
              </w:rPr>
            </w:pPr>
            <w:r>
              <w:rPr>
                <w:rFonts w:hint="eastAsia" w:ascii="宋体" w:hAnsi="宋体"/>
                <w:sz w:val="18"/>
                <w:szCs w:val="18"/>
              </w:rPr>
              <w:t>签订合同时提供原厂售后服务承诺函。</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lang w:bidi="ar"/>
              </w:rPr>
            </w:pPr>
            <w:r>
              <w:rPr>
                <w:rFonts w:hint="eastAsia" w:ascii="宋体" w:hAnsi="宋体"/>
                <w:kern w:val="0"/>
                <w:sz w:val="18"/>
                <w:szCs w:val="18"/>
                <w:lang w:bidi="ar"/>
              </w:rPr>
              <w:t>山石网科SG-6000-C2100</w:t>
            </w:r>
            <w:r>
              <w:rPr>
                <w:rFonts w:hint="eastAsia" w:ascii="宋体" w:hAnsi="宋体"/>
                <w:color w:val="000000"/>
                <w:sz w:val="18"/>
                <w:szCs w:val="18"/>
              </w:rPr>
              <w:t>或同类同档次</w:t>
            </w:r>
          </w:p>
        </w:tc>
      </w:tr>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3</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核心交换机</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套</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sz w:val="18"/>
                <w:szCs w:val="18"/>
              </w:rPr>
            </w:pPr>
            <w:r>
              <w:rPr>
                <w:rFonts w:hint="eastAsia" w:ascii="宋体" w:hAnsi="宋体"/>
                <w:sz w:val="18"/>
                <w:szCs w:val="18"/>
              </w:rPr>
              <w:t>1、交换容量≥2.56T，包转发率≥570Mpps，以官网最小值为准。</w:t>
            </w:r>
          </w:p>
          <w:p>
            <w:pPr>
              <w:widowControl/>
              <w:jc w:val="left"/>
              <w:textAlignment w:val="center"/>
              <w:rPr>
                <w:rFonts w:ascii="宋体" w:hAnsi="宋体"/>
                <w:sz w:val="18"/>
                <w:szCs w:val="18"/>
              </w:rPr>
            </w:pPr>
            <w:r>
              <w:rPr>
                <w:rFonts w:hint="eastAsia" w:ascii="宋体" w:hAnsi="宋体"/>
                <w:sz w:val="18"/>
                <w:szCs w:val="18"/>
              </w:rPr>
              <w:t>2、支持并实配可拔插双模块化电源，可拔插双模块化风扇，前后风道</w:t>
            </w:r>
          </w:p>
          <w:p>
            <w:pPr>
              <w:widowControl/>
              <w:jc w:val="left"/>
              <w:textAlignment w:val="center"/>
              <w:rPr>
                <w:rFonts w:ascii="宋体" w:hAnsi="宋体"/>
                <w:sz w:val="18"/>
                <w:szCs w:val="18"/>
              </w:rPr>
            </w:pPr>
            <w:r>
              <w:rPr>
                <w:rFonts w:hint="eastAsia" w:ascii="宋体" w:hAnsi="宋体"/>
                <w:sz w:val="18"/>
                <w:szCs w:val="18"/>
              </w:rPr>
              <w:t>3、支持并实配10G/1G接口数≥20，25G接口数量≥4，40G接口数≥2。。</w:t>
            </w:r>
          </w:p>
          <w:p>
            <w:pPr>
              <w:widowControl/>
              <w:jc w:val="left"/>
              <w:textAlignment w:val="center"/>
              <w:rPr>
                <w:rFonts w:ascii="宋体" w:hAnsi="宋体"/>
                <w:sz w:val="18"/>
                <w:szCs w:val="18"/>
              </w:rPr>
            </w:pPr>
            <w:r>
              <w:rPr>
                <w:rFonts w:hint="eastAsia" w:ascii="宋体" w:hAnsi="宋体"/>
                <w:sz w:val="18"/>
                <w:szCs w:val="18"/>
              </w:rPr>
              <w:t>4、支持硬件健康状态可视化，可以对风扇状态、电源、温度、板载电压进行监控，尤其是在日常巡查中发现电压异常前兆，可及时处理，避免出现电压异常宕机。</w:t>
            </w:r>
          </w:p>
          <w:p>
            <w:pPr>
              <w:widowControl/>
              <w:jc w:val="left"/>
              <w:textAlignment w:val="center"/>
              <w:rPr>
                <w:rFonts w:ascii="宋体" w:hAnsi="宋体"/>
                <w:sz w:val="18"/>
                <w:szCs w:val="18"/>
              </w:rPr>
            </w:pPr>
            <w:r>
              <w:rPr>
                <w:rFonts w:hint="eastAsia" w:ascii="宋体" w:hAnsi="宋体"/>
                <w:sz w:val="18"/>
                <w:szCs w:val="18"/>
              </w:rPr>
              <w:t>5、支持硬件层级双boot，采用两个FLASH芯片存储boot软件（系统引导程序），实现硬件级boot冗余备份，避免因FLASH芯片故障导致交换机无法启动。投标时提供第三方权威机构检验报告证明。</w:t>
            </w:r>
          </w:p>
          <w:p>
            <w:pPr>
              <w:widowControl/>
              <w:jc w:val="left"/>
              <w:textAlignment w:val="center"/>
              <w:rPr>
                <w:rFonts w:ascii="宋体" w:hAnsi="宋体"/>
                <w:sz w:val="18"/>
                <w:szCs w:val="18"/>
              </w:rPr>
            </w:pPr>
            <w:r>
              <w:rPr>
                <w:rFonts w:hint="eastAsia" w:ascii="宋体" w:hAnsi="宋体"/>
                <w:sz w:val="18"/>
                <w:szCs w:val="18"/>
              </w:rPr>
              <w:t>6、设备支持故障隔离技术，用于监测光模块状态，一旦出现故障，可马上识别、并将故障模块隔离，确保不影响其它端口和整机的正常运行，更换模块后该端口也可马上恢复正常工作，投标时提供第三方权威机构检验报告证明。</w:t>
            </w:r>
          </w:p>
          <w:p>
            <w:pPr>
              <w:widowControl/>
              <w:jc w:val="left"/>
              <w:textAlignment w:val="center"/>
              <w:rPr>
                <w:rFonts w:ascii="宋体" w:hAnsi="宋体"/>
                <w:sz w:val="18"/>
                <w:szCs w:val="18"/>
              </w:rPr>
            </w:pPr>
            <w:r>
              <w:rPr>
                <w:rFonts w:hint="eastAsia" w:ascii="宋体" w:hAnsi="宋体"/>
                <w:sz w:val="18"/>
                <w:szCs w:val="18"/>
              </w:rPr>
              <w:t>7、支持RIP，OSPF，BGP，RIPng，OSPFv3，BGP4+</w:t>
            </w:r>
          </w:p>
          <w:p>
            <w:pPr>
              <w:widowControl/>
              <w:jc w:val="left"/>
              <w:textAlignment w:val="center"/>
              <w:rPr>
                <w:rFonts w:ascii="宋体" w:hAnsi="宋体"/>
                <w:sz w:val="18"/>
                <w:szCs w:val="18"/>
              </w:rPr>
            </w:pPr>
            <w:r>
              <w:rPr>
                <w:rFonts w:hint="eastAsia" w:ascii="宋体" w:hAnsi="宋体"/>
                <w:sz w:val="18"/>
                <w:szCs w:val="18"/>
              </w:rPr>
              <w:t>8、支持多虚一技术，可将多台物理设备虚拟化为一台逻辑设备统一管理，VSL故障恢复时间＜30ms。</w:t>
            </w:r>
          </w:p>
          <w:p>
            <w:pPr>
              <w:widowControl/>
              <w:jc w:val="left"/>
              <w:textAlignment w:val="center"/>
              <w:rPr>
                <w:rFonts w:ascii="宋体" w:hAnsi="宋体"/>
                <w:sz w:val="18"/>
                <w:szCs w:val="18"/>
              </w:rPr>
            </w:pPr>
            <w:r>
              <w:rPr>
                <w:rFonts w:hint="eastAsia" w:ascii="宋体" w:hAnsi="宋体"/>
                <w:sz w:val="18"/>
                <w:szCs w:val="18"/>
              </w:rPr>
              <w:t>9、支持支持同时开启802.1X或WEB认证，CPP、ACL、防ARP欺骗等功能不会相互冲突、制约。</w:t>
            </w:r>
          </w:p>
          <w:p>
            <w:pPr>
              <w:widowControl/>
              <w:jc w:val="left"/>
              <w:textAlignment w:val="center"/>
              <w:rPr>
                <w:rFonts w:ascii="宋体" w:hAnsi="宋体"/>
                <w:sz w:val="18"/>
                <w:szCs w:val="18"/>
              </w:rPr>
            </w:pPr>
            <w:r>
              <w:rPr>
                <w:rFonts w:hint="eastAsia" w:ascii="宋体" w:hAnsi="宋体"/>
                <w:sz w:val="18"/>
                <w:szCs w:val="18"/>
              </w:rPr>
              <w:t>10、支持CPU保护功能，能够针对发往CPU处理的各种报文进行流区分和优先级队列分级处理，保护交换机在各种环境下稳定工作，投标时提供第三方权威机构检验报告证明。</w:t>
            </w:r>
          </w:p>
          <w:p>
            <w:pPr>
              <w:widowControl/>
              <w:jc w:val="left"/>
              <w:textAlignment w:val="center"/>
              <w:rPr>
                <w:rFonts w:ascii="宋体" w:hAnsi="宋体"/>
                <w:sz w:val="18"/>
                <w:szCs w:val="18"/>
              </w:rPr>
            </w:pPr>
            <w:r>
              <w:rPr>
                <w:rFonts w:hint="eastAsia" w:ascii="宋体" w:hAnsi="宋体"/>
                <w:sz w:val="18"/>
                <w:szCs w:val="18"/>
              </w:rPr>
              <w:t>11、支持专门基础网络保护机制，能够限制用户向网络中发送数据包的速率，对有攻击行为的用户进行隔离，保证设备和整网的安全稳定运行，投标时提供第三方权威机构检验报告证明。</w:t>
            </w:r>
          </w:p>
          <w:p>
            <w:pPr>
              <w:widowControl/>
              <w:jc w:val="left"/>
              <w:textAlignment w:val="center"/>
              <w:rPr>
                <w:rFonts w:ascii="宋体" w:hAnsi="宋体"/>
                <w:sz w:val="18"/>
                <w:szCs w:val="18"/>
              </w:rPr>
            </w:pPr>
            <w:r>
              <w:rPr>
                <w:rFonts w:hint="eastAsia" w:ascii="宋体" w:hAnsi="宋体"/>
                <w:sz w:val="18"/>
                <w:szCs w:val="18"/>
              </w:rPr>
              <w:t>12、提供工信部三层交换机进网许可证</w:t>
            </w:r>
          </w:p>
          <w:p>
            <w:pPr>
              <w:widowControl/>
              <w:jc w:val="left"/>
              <w:textAlignment w:val="center"/>
              <w:rPr>
                <w:rFonts w:ascii="宋体" w:hAnsi="宋体"/>
                <w:sz w:val="18"/>
                <w:szCs w:val="18"/>
              </w:rPr>
            </w:pPr>
            <w:r>
              <w:rPr>
                <w:rFonts w:hint="eastAsia" w:ascii="宋体" w:hAnsi="宋体"/>
                <w:sz w:val="18"/>
                <w:szCs w:val="18"/>
              </w:rPr>
              <w:t>13、单台实配2个万兆单模模块。</w:t>
            </w:r>
          </w:p>
          <w:p>
            <w:pPr>
              <w:widowControl/>
              <w:jc w:val="left"/>
              <w:textAlignment w:val="center"/>
              <w:rPr>
                <w:rFonts w:ascii="宋体" w:hAnsi="宋体"/>
                <w:sz w:val="18"/>
                <w:szCs w:val="18"/>
              </w:rPr>
            </w:pPr>
            <w:r>
              <w:rPr>
                <w:rFonts w:hint="eastAsia" w:ascii="宋体" w:hAnsi="宋体"/>
                <w:sz w:val="18"/>
                <w:szCs w:val="18"/>
              </w:rPr>
              <w:t>签订合同时提供原厂售后服务承诺函。</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lang w:bidi="ar"/>
              </w:rPr>
            </w:pPr>
            <w:r>
              <w:rPr>
                <w:rFonts w:hint="eastAsia" w:ascii="宋体" w:hAnsi="宋体"/>
                <w:kern w:val="0"/>
                <w:sz w:val="18"/>
                <w:szCs w:val="18"/>
                <w:lang w:bidi="ar"/>
              </w:rPr>
              <w:t>锐捷RG-S6120-20XS4VS2QXS</w:t>
            </w:r>
          </w:p>
          <w:p>
            <w:pPr>
              <w:widowControl/>
              <w:jc w:val="center"/>
              <w:textAlignment w:val="center"/>
              <w:rPr>
                <w:rFonts w:ascii="宋体" w:hAnsi="宋体"/>
                <w:kern w:val="0"/>
                <w:sz w:val="18"/>
                <w:szCs w:val="18"/>
                <w:lang w:bidi="ar"/>
              </w:rPr>
            </w:pPr>
            <w:r>
              <w:rPr>
                <w:rFonts w:hint="eastAsia" w:ascii="宋体" w:hAnsi="宋体"/>
                <w:kern w:val="0"/>
                <w:sz w:val="18"/>
                <w:szCs w:val="18"/>
                <w:lang w:bidi="ar"/>
              </w:rPr>
              <w:t>RG-PA150I-F</w:t>
            </w:r>
          </w:p>
          <w:p>
            <w:pPr>
              <w:widowControl/>
              <w:jc w:val="center"/>
              <w:textAlignment w:val="center"/>
            </w:pPr>
            <w:r>
              <w:rPr>
                <w:rFonts w:hint="eastAsia" w:ascii="宋体" w:hAnsi="宋体"/>
                <w:kern w:val="0"/>
                <w:sz w:val="18"/>
                <w:szCs w:val="18"/>
                <w:lang w:bidi="ar"/>
              </w:rPr>
              <w:t>XG-SFP-LR-SM1310</w:t>
            </w:r>
            <w:r>
              <w:rPr>
                <w:rFonts w:hint="eastAsia" w:ascii="宋体" w:hAnsi="宋体"/>
                <w:color w:val="000000"/>
                <w:sz w:val="18"/>
                <w:szCs w:val="18"/>
              </w:rPr>
              <w:t>或同类同档次</w:t>
            </w:r>
          </w:p>
        </w:tc>
      </w:tr>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4</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接入交换机</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4</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台</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sz w:val="18"/>
                <w:szCs w:val="18"/>
              </w:rPr>
            </w:pPr>
            <w:r>
              <w:rPr>
                <w:rFonts w:hint="eastAsia" w:ascii="宋体" w:hAnsi="宋体"/>
                <w:sz w:val="18"/>
                <w:szCs w:val="18"/>
              </w:rPr>
              <w:t>1、交换容量≥400Gbps，包转发率≥144Mpps，以官网最小值为准</w:t>
            </w:r>
          </w:p>
          <w:p>
            <w:pPr>
              <w:widowControl/>
              <w:jc w:val="left"/>
              <w:textAlignment w:val="center"/>
              <w:rPr>
                <w:rFonts w:ascii="宋体" w:hAnsi="宋体"/>
                <w:sz w:val="18"/>
                <w:szCs w:val="18"/>
              </w:rPr>
            </w:pPr>
            <w:r>
              <w:rPr>
                <w:rFonts w:hint="eastAsia" w:ascii="宋体" w:hAnsi="宋体"/>
                <w:sz w:val="18"/>
                <w:szCs w:val="18"/>
              </w:rPr>
              <w:t>2、固化10/100/1000M以太网端口≥48，固化1G/10G SFP+万兆光接口≥4个 </w:t>
            </w:r>
          </w:p>
          <w:p>
            <w:pPr>
              <w:widowControl/>
              <w:jc w:val="left"/>
              <w:textAlignment w:val="center"/>
              <w:rPr>
                <w:rFonts w:ascii="宋体" w:hAnsi="宋体"/>
                <w:sz w:val="18"/>
                <w:szCs w:val="18"/>
              </w:rPr>
            </w:pPr>
            <w:r>
              <w:rPr>
                <w:rFonts w:hint="eastAsia" w:ascii="宋体" w:hAnsi="宋体"/>
                <w:sz w:val="18"/>
                <w:szCs w:val="18"/>
              </w:rPr>
              <w:t>3、要求所投设备MAC地址≥16K</w:t>
            </w:r>
          </w:p>
          <w:p>
            <w:pPr>
              <w:widowControl/>
              <w:jc w:val="left"/>
              <w:textAlignment w:val="center"/>
              <w:rPr>
                <w:rFonts w:ascii="宋体" w:hAnsi="宋体"/>
                <w:sz w:val="18"/>
                <w:szCs w:val="18"/>
              </w:rPr>
            </w:pPr>
            <w:r>
              <w:rPr>
                <w:rFonts w:hint="eastAsia" w:ascii="宋体" w:hAnsi="宋体"/>
                <w:sz w:val="18"/>
                <w:szCs w:val="18"/>
              </w:rPr>
              <w:t>4、要求所投产品端口浪涌抗扰度≥10KV</w:t>
            </w:r>
          </w:p>
          <w:p>
            <w:pPr>
              <w:widowControl/>
              <w:jc w:val="left"/>
              <w:textAlignment w:val="center"/>
              <w:rPr>
                <w:rFonts w:ascii="宋体" w:hAnsi="宋体"/>
                <w:sz w:val="18"/>
                <w:szCs w:val="18"/>
              </w:rPr>
            </w:pPr>
            <w:r>
              <w:rPr>
                <w:rFonts w:hint="eastAsia" w:ascii="宋体" w:hAnsi="宋体"/>
                <w:sz w:val="18"/>
                <w:szCs w:val="18"/>
              </w:rPr>
              <w:t>5、支持IPv4和IPv6的静态路由、RIP/RIPng、OSPFv2/OSPFv3等三层路由协议</w:t>
            </w:r>
          </w:p>
          <w:p>
            <w:pPr>
              <w:widowControl/>
              <w:jc w:val="left"/>
              <w:textAlignment w:val="center"/>
              <w:rPr>
                <w:rFonts w:ascii="宋体" w:hAnsi="宋体"/>
                <w:sz w:val="18"/>
                <w:szCs w:val="18"/>
              </w:rPr>
            </w:pPr>
            <w:r>
              <w:rPr>
                <w:rFonts w:hint="eastAsia" w:ascii="宋体" w:hAnsi="宋体"/>
                <w:sz w:val="18"/>
                <w:szCs w:val="18"/>
              </w:rPr>
              <w:t>6、要求所投设备支持1对1、1对多、多对1和基于流的本地、远程镜像；且支持RSPAN和ERSPAN</w:t>
            </w:r>
          </w:p>
          <w:p>
            <w:pPr>
              <w:widowControl/>
              <w:jc w:val="left"/>
              <w:textAlignment w:val="center"/>
              <w:rPr>
                <w:rFonts w:ascii="宋体" w:hAnsi="宋体"/>
                <w:sz w:val="18"/>
                <w:szCs w:val="18"/>
              </w:rPr>
            </w:pPr>
            <w:r>
              <w:rPr>
                <w:rFonts w:hint="eastAsia" w:ascii="宋体" w:hAnsi="宋体"/>
                <w:sz w:val="18"/>
                <w:szCs w:val="18"/>
              </w:rPr>
              <w:t>7、支持专门针对CPU保护机制的CPP功能，可将送CPU的报文，如ARP报文的速率进行限制，使CPU的使用率降低到10%左右，保障了CPU安全，以第三方权威机构测试报告为准。</w:t>
            </w:r>
          </w:p>
          <w:p>
            <w:pPr>
              <w:widowControl/>
              <w:jc w:val="left"/>
              <w:textAlignment w:val="center"/>
              <w:rPr>
                <w:rFonts w:ascii="宋体" w:hAnsi="宋体"/>
                <w:sz w:val="18"/>
                <w:szCs w:val="18"/>
              </w:rPr>
            </w:pPr>
            <w:r>
              <w:rPr>
                <w:rFonts w:hint="eastAsia" w:ascii="宋体" w:hAnsi="宋体"/>
                <w:sz w:val="18"/>
                <w:szCs w:val="18"/>
              </w:rPr>
              <w:t>8、支持专门基础网络保护机制的NFPP功能，支持多种类型的防护，如ARP防护，当ARP速率超过攻击水线，对有攻击行为的用户进行隔离，保证设备和整网的安全稳定运行，以第三方权威机构测试报告为准。</w:t>
            </w:r>
          </w:p>
          <w:p>
            <w:pPr>
              <w:widowControl/>
              <w:jc w:val="left"/>
              <w:textAlignment w:val="center"/>
              <w:rPr>
                <w:rFonts w:ascii="宋体" w:hAnsi="宋体"/>
                <w:sz w:val="18"/>
                <w:szCs w:val="18"/>
              </w:rPr>
            </w:pPr>
            <w:r>
              <w:rPr>
                <w:rFonts w:hint="eastAsia" w:ascii="宋体" w:hAnsi="宋体"/>
                <w:sz w:val="18"/>
                <w:szCs w:val="18"/>
              </w:rPr>
              <w:t>9、要求所投产品支持sFlow网络监测技术。</w:t>
            </w:r>
          </w:p>
          <w:p>
            <w:pPr>
              <w:widowControl/>
              <w:jc w:val="left"/>
              <w:textAlignment w:val="center"/>
              <w:rPr>
                <w:rFonts w:ascii="宋体" w:hAnsi="宋体"/>
                <w:sz w:val="18"/>
                <w:szCs w:val="18"/>
              </w:rPr>
            </w:pPr>
            <w:r>
              <w:rPr>
                <w:rFonts w:hint="eastAsia" w:ascii="宋体" w:hAnsi="宋体"/>
                <w:sz w:val="18"/>
                <w:szCs w:val="18"/>
              </w:rPr>
              <w:t>10、支持虚拟化功能，可将多台物理设备虚拟化为一台逻辑设备统一管理，并且链路故障的收敛时间≤30ms。</w:t>
            </w:r>
          </w:p>
          <w:p>
            <w:pPr>
              <w:widowControl/>
              <w:jc w:val="left"/>
              <w:textAlignment w:val="center"/>
              <w:rPr>
                <w:rFonts w:ascii="宋体" w:hAnsi="宋体"/>
                <w:sz w:val="18"/>
                <w:szCs w:val="18"/>
              </w:rPr>
            </w:pPr>
            <w:r>
              <w:rPr>
                <w:rFonts w:hint="eastAsia" w:ascii="宋体" w:hAnsi="宋体"/>
                <w:sz w:val="18"/>
                <w:szCs w:val="18"/>
              </w:rPr>
              <w:t>11、要求所投产品支持ITU-TG.8032国际公有环网协议ERPS，并且链路故障的收敛时间≤50ms。</w:t>
            </w:r>
          </w:p>
          <w:p>
            <w:pPr>
              <w:widowControl/>
              <w:jc w:val="left"/>
              <w:textAlignment w:val="center"/>
              <w:rPr>
                <w:rFonts w:ascii="宋体" w:hAnsi="宋体"/>
                <w:sz w:val="18"/>
                <w:szCs w:val="18"/>
              </w:rPr>
            </w:pPr>
            <w:r>
              <w:rPr>
                <w:rFonts w:hint="eastAsia" w:ascii="宋体" w:hAnsi="宋体"/>
                <w:sz w:val="18"/>
                <w:szCs w:val="18"/>
              </w:rPr>
              <w:t>12、符合国家低碳环保等政策要求，支持IEEE 802.3az标准的EEE节能技术，以第三方权威机构测试报告为准。</w:t>
            </w:r>
          </w:p>
          <w:p>
            <w:pPr>
              <w:widowControl/>
              <w:jc w:val="left"/>
              <w:textAlignment w:val="center"/>
              <w:rPr>
                <w:rFonts w:ascii="宋体" w:hAnsi="宋体"/>
                <w:sz w:val="18"/>
                <w:szCs w:val="18"/>
              </w:rPr>
            </w:pPr>
            <w:r>
              <w:rPr>
                <w:rFonts w:hint="eastAsia" w:ascii="宋体" w:hAnsi="宋体"/>
                <w:sz w:val="18"/>
                <w:szCs w:val="18"/>
              </w:rPr>
              <w:t>13、单台实配2个万兆单模模块。</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lang w:bidi="ar"/>
              </w:rPr>
            </w:pPr>
            <w:r>
              <w:rPr>
                <w:rFonts w:hint="eastAsia" w:ascii="宋体" w:hAnsi="宋体"/>
                <w:kern w:val="0"/>
                <w:sz w:val="18"/>
                <w:szCs w:val="18"/>
                <w:lang w:bidi="ar"/>
              </w:rPr>
              <w:t>锐捷RG-S2910-48GT4XS-E</w:t>
            </w:r>
          </w:p>
          <w:p>
            <w:pPr>
              <w:widowControl/>
              <w:jc w:val="center"/>
              <w:textAlignment w:val="center"/>
            </w:pPr>
            <w:r>
              <w:rPr>
                <w:rFonts w:hint="eastAsia" w:ascii="宋体" w:hAnsi="宋体"/>
                <w:kern w:val="0"/>
                <w:sz w:val="18"/>
                <w:szCs w:val="18"/>
                <w:lang w:bidi="ar"/>
              </w:rPr>
              <w:t>XG-SFP-LR-SM1310</w:t>
            </w:r>
            <w:r>
              <w:rPr>
                <w:rFonts w:hint="eastAsia" w:ascii="宋体" w:hAnsi="宋体"/>
                <w:color w:val="000000"/>
                <w:sz w:val="18"/>
                <w:szCs w:val="18"/>
              </w:rPr>
              <w:t>或同类同档次</w:t>
            </w:r>
          </w:p>
        </w:tc>
      </w:tr>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5</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服务器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台</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sz w:val="18"/>
                <w:szCs w:val="18"/>
              </w:rPr>
            </w:pPr>
            <w:r>
              <w:rPr>
                <w:rFonts w:hint="eastAsia" w:ascii="宋体" w:hAnsi="宋体"/>
                <w:sz w:val="18"/>
                <w:szCs w:val="18"/>
              </w:rPr>
              <w:t>外形：2U 机架式服务器</w:t>
            </w:r>
          </w:p>
          <w:p>
            <w:pPr>
              <w:rPr>
                <w:rFonts w:ascii="宋体" w:hAnsi="宋体"/>
                <w:sz w:val="18"/>
                <w:szCs w:val="18"/>
              </w:rPr>
            </w:pPr>
            <w:r>
              <w:rPr>
                <w:rFonts w:hint="eastAsia" w:ascii="宋体" w:hAnsi="宋体"/>
                <w:sz w:val="18"/>
                <w:szCs w:val="18"/>
              </w:rPr>
              <w:t>CPU：配置1颗英特尔至强3204；</w:t>
            </w:r>
          </w:p>
          <w:p>
            <w:pPr>
              <w:rPr>
                <w:rFonts w:ascii="宋体" w:hAnsi="宋体"/>
                <w:sz w:val="18"/>
                <w:szCs w:val="18"/>
              </w:rPr>
            </w:pPr>
            <w:r>
              <w:rPr>
                <w:rFonts w:hint="eastAsia" w:ascii="宋体" w:hAnsi="宋体"/>
                <w:sz w:val="18"/>
                <w:szCs w:val="18"/>
              </w:rPr>
              <w:t>内存容量和槽位：配置32GB DDR43200MT/s内存，≥24个DIMM 插槽， 支持12个NVDIMM非易失性内存，提供官方彩页或者官方白皮书证明.</w:t>
            </w:r>
          </w:p>
          <w:p>
            <w:pPr>
              <w:rPr>
                <w:rFonts w:ascii="宋体" w:hAnsi="宋体"/>
                <w:sz w:val="18"/>
                <w:szCs w:val="18"/>
              </w:rPr>
            </w:pPr>
            <w:r>
              <w:rPr>
                <w:rFonts w:hint="eastAsia" w:ascii="宋体" w:hAnsi="宋体"/>
                <w:sz w:val="18"/>
                <w:szCs w:val="18"/>
              </w:rPr>
              <w:t>硬盘和槽位：配置2*1.2T 10k硬盘；配置≥8个硬盘槽位，兼容2.5英寸和3.5英寸硬盘，可选背板≥18个3.5英寸硬盘插槽；快擦硬盘/SSD可选服务器生命周期结束或者挪作它用时一键删除硬盘/SSD所有信息，只需要几分钟就能保证信息不泄露；</w:t>
            </w:r>
          </w:p>
          <w:p>
            <w:pPr>
              <w:rPr>
                <w:rFonts w:ascii="宋体" w:hAnsi="宋体"/>
                <w:sz w:val="18"/>
                <w:szCs w:val="18"/>
              </w:rPr>
            </w:pPr>
            <w:r>
              <w:rPr>
                <w:rFonts w:hint="eastAsia" w:ascii="宋体" w:hAnsi="宋体"/>
                <w:sz w:val="18"/>
                <w:szCs w:val="18"/>
              </w:rPr>
              <w:t>虚拟化软件介质：支持主板集成双SD卡，支持Raid1，可用于部署虚拟化，支持可选≥2个16Gb SD卡专门用于安装虚拟化层软件，镜像部署。</w:t>
            </w:r>
          </w:p>
          <w:p>
            <w:pPr>
              <w:rPr>
                <w:rFonts w:ascii="宋体" w:hAnsi="宋体"/>
                <w:sz w:val="18"/>
                <w:szCs w:val="18"/>
              </w:rPr>
            </w:pPr>
            <w:r>
              <w:rPr>
                <w:rFonts w:hint="eastAsia" w:ascii="宋体" w:hAnsi="宋体"/>
                <w:sz w:val="18"/>
                <w:szCs w:val="18"/>
              </w:rPr>
              <w:t>RAID卡：配置≥8GB高速缓存，支持RAID 0、1、5、6、10、50、60，断电保护； 需提供官方文档或官网截图证明；</w:t>
            </w:r>
          </w:p>
          <w:p>
            <w:pPr>
              <w:rPr>
                <w:rFonts w:ascii="宋体" w:hAnsi="宋体"/>
                <w:sz w:val="18"/>
                <w:szCs w:val="18"/>
              </w:rPr>
            </w:pPr>
            <w:r>
              <w:rPr>
                <w:rFonts w:hint="eastAsia" w:ascii="宋体" w:hAnsi="宋体"/>
                <w:sz w:val="18"/>
                <w:szCs w:val="18"/>
              </w:rPr>
              <w:t>PCI插槽：≥7个PCIe第3代插槽</w:t>
            </w:r>
          </w:p>
          <w:p>
            <w:pPr>
              <w:rPr>
                <w:rFonts w:ascii="宋体" w:hAnsi="宋体"/>
                <w:sz w:val="18"/>
                <w:szCs w:val="18"/>
              </w:rPr>
            </w:pPr>
            <w:r>
              <w:rPr>
                <w:rFonts w:hint="eastAsia" w:ascii="宋体" w:hAnsi="宋体"/>
                <w:sz w:val="18"/>
                <w:szCs w:val="18"/>
              </w:rPr>
              <w:t>网卡：配置2端口千兆网卡，2端口万兆光口网卡含原厂光模块</w:t>
            </w:r>
          </w:p>
          <w:p>
            <w:pPr>
              <w:rPr>
                <w:rFonts w:ascii="宋体" w:hAnsi="宋体"/>
                <w:sz w:val="18"/>
                <w:szCs w:val="18"/>
              </w:rPr>
            </w:pPr>
            <w:r>
              <w:rPr>
                <w:rFonts w:hint="eastAsia" w:ascii="宋体" w:hAnsi="宋体"/>
                <w:sz w:val="18"/>
                <w:szCs w:val="18"/>
              </w:rPr>
              <w:t>GPU：支持≥3个内部全宽300W或者≥6个内部半宽半高的150W GPU，需提供官方彩页或官方白皮书证明；</w:t>
            </w:r>
          </w:p>
          <w:p>
            <w:pPr>
              <w:rPr>
                <w:rFonts w:ascii="宋体" w:hAnsi="宋体"/>
                <w:sz w:val="18"/>
                <w:szCs w:val="18"/>
              </w:rPr>
            </w:pPr>
            <w:r>
              <w:rPr>
                <w:rFonts w:hint="eastAsia" w:ascii="宋体" w:hAnsi="宋体"/>
                <w:sz w:val="18"/>
                <w:szCs w:val="18"/>
              </w:rPr>
              <w:t>电源和风扇：配置1+1≥750W冗余热插拔电源，满配风扇</w:t>
            </w:r>
          </w:p>
          <w:p>
            <w:pPr>
              <w:rPr>
                <w:rFonts w:ascii="宋体" w:hAnsi="宋体"/>
                <w:sz w:val="18"/>
                <w:szCs w:val="18"/>
              </w:rPr>
            </w:pPr>
            <w:r>
              <w:rPr>
                <w:rFonts w:hint="eastAsia" w:ascii="宋体" w:hAnsi="宋体"/>
                <w:sz w:val="18"/>
                <w:szCs w:val="18"/>
              </w:rPr>
              <w:t>兼容性：通过中标麒麟操作系统认证，提供中标麒麟官网认证截图</w:t>
            </w:r>
          </w:p>
          <w:p>
            <w:pPr>
              <w:rPr>
                <w:rFonts w:ascii="宋体" w:hAnsi="宋体"/>
                <w:sz w:val="18"/>
                <w:szCs w:val="18"/>
              </w:rPr>
            </w:pPr>
            <w:r>
              <w:rPr>
                <w:rFonts w:hint="eastAsia" w:ascii="宋体" w:hAnsi="宋体"/>
                <w:sz w:val="18"/>
                <w:szCs w:val="18"/>
              </w:rPr>
              <w:t>安全功能和特性：加密签名固件，硬件根信任，安全启动，自动BIOS恢复，快速OS恢复，系统一键锁定，安全的缺省密码，配置和固件漂移检测，持久日志（包括用户形迹）</w:t>
            </w:r>
          </w:p>
          <w:p>
            <w:pPr>
              <w:rPr>
                <w:rFonts w:ascii="宋体" w:hAnsi="宋体"/>
                <w:sz w:val="18"/>
                <w:szCs w:val="18"/>
              </w:rPr>
            </w:pPr>
            <w:r>
              <w:rPr>
                <w:rFonts w:hint="eastAsia" w:ascii="宋体" w:hAnsi="宋体"/>
                <w:sz w:val="18"/>
                <w:szCs w:val="18"/>
              </w:rPr>
              <w:t>前置管理液晶屏：前面板上配备有可拆卸液晶屏，可显示默认或定制信息，包括IP地址、服务器名称、支持服务编号等。如果系统发生故障，该液晶屏上将显示关于故障的具体信息</w:t>
            </w:r>
          </w:p>
          <w:p>
            <w:pPr>
              <w:rPr>
                <w:rFonts w:ascii="宋体" w:hAnsi="宋体"/>
                <w:sz w:val="18"/>
                <w:szCs w:val="18"/>
              </w:rPr>
            </w:pPr>
            <w:r>
              <w:rPr>
                <w:rFonts w:hint="eastAsia" w:ascii="宋体" w:hAnsi="宋体"/>
                <w:sz w:val="18"/>
                <w:szCs w:val="18"/>
              </w:rPr>
              <w:t>第三方管理平台集成：提供主流管理平台如VMware vCenter，Microsoft System Center，BMC Software的插件集成；能够连接常见的管理平台如Nagios &amp; Nagios XI，Oracle Enterprise Manager， HP Operations Manager，IBM Tivoli Netcool/OMNIbus， IBM Tivoli® Network Manager， CA Network and Systems Management；</w:t>
            </w:r>
          </w:p>
          <w:p>
            <w:pPr>
              <w:rPr>
                <w:rFonts w:ascii="宋体" w:hAnsi="宋体"/>
                <w:sz w:val="18"/>
                <w:szCs w:val="18"/>
              </w:rPr>
            </w:pPr>
            <w:r>
              <w:rPr>
                <w:rFonts w:hint="eastAsia" w:ascii="宋体" w:hAnsi="宋体"/>
                <w:sz w:val="18"/>
                <w:szCs w:val="18"/>
              </w:rPr>
              <w:t>监控分析：提供性能监控分析软件并提供图文报告：包含CPU、内存、读写IOPS的峰值、吞吐量、读写比例，以及延迟、队列等性能数据，同时能提供所连接服务器的总核心数、以及CPU的峰值和最低值；支持监测VMware虚拟化集群、linux和Windows系统，且没有数量限制；深入分析服务器工作负载和容量需求，以优化数据中心运行效率；提供软件界面截图或官网功能截图；必须在应答书里描述如何实现并提供详细的报告样本实例，同时必须在签订合同前通过测试验证</w:t>
            </w:r>
          </w:p>
          <w:p>
            <w:pPr>
              <w:rPr>
                <w:rFonts w:ascii="宋体" w:hAnsi="宋体"/>
                <w:sz w:val="18"/>
                <w:szCs w:val="18"/>
              </w:rPr>
            </w:pPr>
            <w:r>
              <w:rPr>
                <w:rFonts w:hint="eastAsia" w:ascii="宋体" w:hAnsi="宋体"/>
                <w:sz w:val="18"/>
                <w:szCs w:val="18"/>
              </w:rPr>
              <w:t>远程管理：配置远程管理卡，具有单独的管理网口，可不依赖主机操作系统进行远程操作。提供远程监控图形界面，可实现与操作系统无关的远程对服务器的完全控制，包括远程的开关机、重启、更新Firmware， 虚拟KVM， 虚拟软驱，虚拟光驱、虚拟介质重定向等操作；支持SNMP，IPMI和Redfish；支持IPv6。前置专用USB管理口</w:t>
            </w:r>
          </w:p>
          <w:p>
            <w:pPr>
              <w:rPr>
                <w:rFonts w:ascii="宋体" w:hAnsi="宋体"/>
                <w:sz w:val="18"/>
                <w:szCs w:val="18"/>
              </w:rPr>
            </w:pPr>
            <w:r>
              <w:rPr>
                <w:rFonts w:hint="eastAsia" w:ascii="宋体" w:hAnsi="宋体"/>
                <w:sz w:val="18"/>
                <w:szCs w:val="18"/>
              </w:rPr>
              <w:t>允许用户独立于操作系统状态之外（免代理安装方式）远程访问、监控、维修、修复和升级服务器。</w:t>
            </w:r>
          </w:p>
          <w:p>
            <w:pPr>
              <w:rPr>
                <w:rFonts w:ascii="宋体" w:hAnsi="宋体"/>
                <w:sz w:val="18"/>
                <w:szCs w:val="18"/>
              </w:rPr>
            </w:pPr>
            <w:r>
              <w:rPr>
                <w:rFonts w:hint="eastAsia" w:ascii="宋体" w:hAnsi="宋体"/>
                <w:sz w:val="18"/>
                <w:szCs w:val="18"/>
              </w:rPr>
              <w:t>能够利用SD卡保存操作系统安装镜像，从而实现一站式地完成操作系统的部署，包括内建驱动程序安装、固件更新、硬件配置和问题诊断。</w:t>
            </w:r>
          </w:p>
          <w:p>
            <w:pPr>
              <w:rPr>
                <w:rFonts w:ascii="宋体" w:hAnsi="宋体"/>
                <w:sz w:val="18"/>
                <w:szCs w:val="18"/>
              </w:rPr>
            </w:pPr>
            <w:r>
              <w:rPr>
                <w:rFonts w:hint="eastAsia" w:ascii="宋体" w:hAnsi="宋体"/>
                <w:sz w:val="18"/>
                <w:szCs w:val="18"/>
              </w:rPr>
              <w:t>提供原厂服务器性能分析软件授权（≥100台服务器），可对多个节点进行统一性能监控，收集磁盘IO、吞吐量、容量、CPU、内存使用率、磁盘延迟、队列深度、读写比等指标，支持windows、Linux系统，提供软件界面截图或官网功能截图；</w:t>
            </w:r>
          </w:p>
          <w:p>
            <w:pPr>
              <w:rPr>
                <w:rFonts w:ascii="宋体" w:hAnsi="宋体"/>
                <w:sz w:val="18"/>
                <w:szCs w:val="18"/>
              </w:rPr>
            </w:pPr>
            <w:r>
              <w:rPr>
                <w:rFonts w:hint="eastAsia" w:ascii="宋体" w:hAnsi="宋体"/>
                <w:sz w:val="18"/>
                <w:szCs w:val="18"/>
              </w:rPr>
              <w:t>移动管理：可升级通过手机和平板电脑管理服务器，可以做现场的资产清点。需提供官方彩页或官网截图。</w:t>
            </w:r>
          </w:p>
          <w:p>
            <w:pPr>
              <w:rPr>
                <w:rFonts w:ascii="宋体" w:hAnsi="宋体"/>
                <w:sz w:val="18"/>
                <w:szCs w:val="18"/>
              </w:rPr>
            </w:pPr>
            <w:r>
              <w:rPr>
                <w:rFonts w:hint="eastAsia" w:ascii="宋体" w:hAnsi="宋体"/>
                <w:sz w:val="18"/>
                <w:szCs w:val="18"/>
              </w:rPr>
              <w:t>数据备份：内置重复数据消除技术的备份系统，具备直接在服务器上进行源端重复数据删除以及备份端消重功能；支持后端挂接云存储，实现备份数据到云的自动转储；能同时支持以OST、CIFS、NFS等协议接入，所有协议可以同时使用。备份系统能够跟多种数据库直接集成，即使无需备份软件也可实现源端消重备份。</w:t>
            </w:r>
          </w:p>
          <w:p>
            <w:pPr>
              <w:rPr>
                <w:rFonts w:ascii="宋体" w:hAnsi="宋体"/>
                <w:sz w:val="18"/>
                <w:szCs w:val="18"/>
              </w:rPr>
            </w:pPr>
            <w:r>
              <w:rPr>
                <w:rFonts w:hint="eastAsia" w:ascii="宋体" w:hAnsi="宋体"/>
                <w:sz w:val="18"/>
                <w:szCs w:val="18"/>
              </w:rPr>
              <w:t>全生命周期管理：从服务器出厂免光盘安装部署，到升级，监控，维护，直至报废涉及的方方面面提供全生命周期管理。</w:t>
            </w:r>
          </w:p>
          <w:p>
            <w:pPr>
              <w:rPr>
                <w:rFonts w:ascii="宋体" w:hAnsi="宋体"/>
                <w:sz w:val="18"/>
                <w:szCs w:val="18"/>
              </w:rPr>
            </w:pPr>
            <w:r>
              <w:rPr>
                <w:rFonts w:hint="eastAsia" w:ascii="宋体" w:hAnsi="宋体"/>
                <w:sz w:val="18"/>
                <w:szCs w:val="18"/>
              </w:rPr>
              <w:t>部署：虚拟化或容器部署，提供多个相互隔离的应用框架，并能够实现集中管理和调度功能。</w:t>
            </w:r>
          </w:p>
          <w:p>
            <w:pPr>
              <w:rPr>
                <w:rFonts w:ascii="宋体" w:hAnsi="宋体"/>
                <w:sz w:val="18"/>
                <w:szCs w:val="18"/>
              </w:rPr>
            </w:pPr>
            <w:r>
              <w:rPr>
                <w:rFonts w:hint="eastAsia" w:ascii="宋体" w:hAnsi="宋体"/>
                <w:sz w:val="18"/>
                <w:szCs w:val="18"/>
              </w:rPr>
              <w:t>导轨：通用滑动机架式导轨，免工具安装</w:t>
            </w:r>
          </w:p>
          <w:p>
            <w:pPr>
              <w:widowControl/>
              <w:jc w:val="left"/>
              <w:textAlignment w:val="center"/>
              <w:rPr>
                <w:rFonts w:ascii="宋体" w:hAnsi="宋体"/>
                <w:sz w:val="18"/>
                <w:szCs w:val="18"/>
              </w:rPr>
            </w:pPr>
            <w:r>
              <w:rPr>
                <w:rFonts w:hint="eastAsia" w:ascii="宋体" w:hAnsi="宋体"/>
                <w:sz w:val="18"/>
                <w:szCs w:val="18"/>
              </w:rPr>
              <w:t>售后服务：原厂3年当日4小时（24X7）软硬件上门服务（配件+人力)的IT专业支持与关键任务保修配置主动支持服务，服务官方电话及官网可查。配置专属原厂技术客户经理，投标时提供原厂商技术经理工牌及官方邮箱及联系方式，后续核验；解决问题和巡检及报告的单一服务联络人。大客户售后服务通道，包括原厂800和400专线电话(投标现场验证)、原厂售后服务对接人，原厂每月提供月度优化报告和建议，原厂每年提供两次原厂系统维护服务和报告。服务期内保修范围内的人工、配件、交通等任何费用全免；高级软件支持；原厂本地技术客户经理24×7电话支持，硬盘不返还服务；</w:t>
            </w:r>
          </w:p>
          <w:p>
            <w:pPr>
              <w:widowControl/>
              <w:jc w:val="left"/>
              <w:textAlignment w:val="center"/>
              <w:rPr>
                <w:rFonts w:ascii="宋体" w:hAnsi="宋体"/>
                <w:sz w:val="18"/>
                <w:szCs w:val="18"/>
              </w:rPr>
            </w:pPr>
            <w:r>
              <w:rPr>
                <w:rFonts w:hint="eastAsia" w:ascii="宋体" w:hAnsi="宋体"/>
                <w:sz w:val="18"/>
                <w:szCs w:val="18"/>
              </w:rPr>
              <w:t>签订合同时提供原厂售后服务承诺函。</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lang w:bidi="ar"/>
              </w:rPr>
            </w:pPr>
            <w:r>
              <w:rPr>
                <w:rFonts w:hint="eastAsia" w:ascii="宋体" w:hAnsi="宋体"/>
                <w:kern w:val="0"/>
                <w:sz w:val="18"/>
                <w:szCs w:val="18"/>
                <w:lang w:bidi="ar"/>
              </w:rPr>
              <w:t>戴尔R740</w:t>
            </w:r>
            <w:r>
              <w:rPr>
                <w:rFonts w:hint="eastAsia" w:ascii="宋体" w:hAnsi="宋体"/>
                <w:color w:val="000000"/>
                <w:sz w:val="18"/>
                <w:szCs w:val="18"/>
              </w:rPr>
              <w:t>或同类同档次</w:t>
            </w:r>
          </w:p>
        </w:tc>
      </w:tr>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6</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服务器系统</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套</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sz w:val="18"/>
                <w:szCs w:val="18"/>
              </w:rPr>
            </w:pPr>
            <w:r>
              <w:rPr>
                <w:rFonts w:hint="eastAsia" w:ascii="宋体" w:hAnsi="宋体"/>
                <w:kern w:val="0"/>
                <w:sz w:val="18"/>
                <w:szCs w:val="18"/>
              </w:rPr>
              <w:t>win server 2016标准版</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kern w:val="0"/>
                <w:szCs w:val="18"/>
                <w:lang w:bidi="ar"/>
              </w:rPr>
            </w:pPr>
            <w:r>
              <w:rPr>
                <w:rFonts w:hint="eastAsia" w:ascii="宋体" w:hAnsi="宋体"/>
                <w:sz w:val="18"/>
                <w:szCs w:val="18"/>
              </w:rPr>
              <w:t>win server 2016标准版</w:t>
            </w:r>
            <w:r>
              <w:rPr>
                <w:rFonts w:hint="eastAsia" w:ascii="宋体" w:hAnsi="宋体"/>
                <w:color w:val="000000"/>
                <w:sz w:val="18"/>
                <w:szCs w:val="18"/>
              </w:rPr>
              <w:t>或同类同档次</w:t>
            </w:r>
          </w:p>
        </w:tc>
      </w:tr>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7</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打印\复印机</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台</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sz w:val="18"/>
                <w:szCs w:val="18"/>
              </w:rPr>
            </w:pPr>
            <w:r>
              <w:rPr>
                <w:rFonts w:hint="eastAsia" w:ascii="宋体" w:hAnsi="宋体"/>
                <w:kern w:val="0"/>
                <w:sz w:val="18"/>
                <w:szCs w:val="18"/>
              </w:rPr>
              <w:t>产品类型：彩色墨仓式多功能一体机</w:t>
            </w:r>
            <w:r>
              <w:rPr>
                <w:rFonts w:hint="eastAsia" w:ascii="宋体" w:hAnsi="宋体"/>
                <w:kern w:val="0"/>
                <w:sz w:val="18"/>
                <w:szCs w:val="18"/>
              </w:rPr>
              <w:br w:type="textWrapping"/>
            </w:r>
            <w:r>
              <w:rPr>
                <w:rFonts w:hint="eastAsia" w:ascii="宋体" w:hAnsi="宋体"/>
                <w:kern w:val="0"/>
                <w:sz w:val="18"/>
                <w:szCs w:val="18"/>
              </w:rPr>
              <w:t>涵盖功能：打印/复印/扫描</w:t>
            </w:r>
            <w:r>
              <w:rPr>
                <w:rFonts w:hint="eastAsia" w:ascii="宋体" w:hAnsi="宋体"/>
                <w:kern w:val="0"/>
                <w:sz w:val="18"/>
                <w:szCs w:val="18"/>
              </w:rPr>
              <w:br w:type="textWrapping"/>
            </w:r>
            <w:r>
              <w:rPr>
                <w:rFonts w:hint="eastAsia" w:ascii="宋体" w:hAnsi="宋体"/>
                <w:kern w:val="0"/>
                <w:sz w:val="18"/>
                <w:szCs w:val="18"/>
              </w:rPr>
              <w:t>最大处理幅面：A4</w:t>
            </w:r>
            <w:r>
              <w:rPr>
                <w:rFonts w:hint="eastAsia" w:ascii="宋体" w:hAnsi="宋体"/>
                <w:kern w:val="0"/>
                <w:sz w:val="18"/>
                <w:szCs w:val="18"/>
              </w:rPr>
              <w:br w:type="textWrapping"/>
            </w:r>
            <w:r>
              <w:rPr>
                <w:rFonts w:hint="eastAsia" w:ascii="宋体" w:hAnsi="宋体"/>
                <w:kern w:val="0"/>
                <w:sz w:val="18"/>
                <w:szCs w:val="18"/>
              </w:rPr>
              <w:t>耗材类型：一体式墨盒</w:t>
            </w:r>
            <w:r>
              <w:rPr>
                <w:rFonts w:hint="eastAsia" w:ascii="宋体" w:hAnsi="宋体"/>
                <w:kern w:val="0"/>
                <w:sz w:val="18"/>
                <w:szCs w:val="18"/>
              </w:rPr>
              <w:br w:type="textWrapping"/>
            </w:r>
            <w:r>
              <w:rPr>
                <w:rFonts w:hint="eastAsia" w:ascii="宋体" w:hAnsi="宋体"/>
                <w:kern w:val="0"/>
                <w:sz w:val="18"/>
                <w:szCs w:val="18"/>
              </w:rPr>
              <w:t>耗材容量：独立4色墨水</w:t>
            </w:r>
            <w:r>
              <w:rPr>
                <w:rFonts w:hint="eastAsia" w:ascii="宋体" w:hAnsi="宋体"/>
                <w:kern w:val="0"/>
                <w:sz w:val="18"/>
                <w:szCs w:val="18"/>
              </w:rPr>
              <w:br w:type="textWrapping"/>
            </w:r>
            <w:r>
              <w:rPr>
                <w:rFonts w:hint="eastAsia" w:ascii="宋体" w:hAnsi="宋体"/>
                <w:kern w:val="0"/>
                <w:sz w:val="18"/>
                <w:szCs w:val="18"/>
              </w:rPr>
              <w:t>黑色：7500页，彩色：6000页</w:t>
            </w:r>
            <w:r>
              <w:rPr>
                <w:rFonts w:hint="eastAsia" w:ascii="宋体" w:hAnsi="宋体"/>
                <w:kern w:val="0"/>
                <w:sz w:val="18"/>
                <w:szCs w:val="18"/>
              </w:rPr>
              <w:br w:type="textWrapping"/>
            </w:r>
            <w:r>
              <w:rPr>
                <w:rFonts w:hint="eastAsia" w:ascii="宋体" w:hAnsi="宋体"/>
                <w:kern w:val="0"/>
                <w:sz w:val="18"/>
                <w:szCs w:val="18"/>
              </w:rPr>
              <w:t>双面功能：自动</w:t>
            </w:r>
            <w:r>
              <w:rPr>
                <w:rFonts w:hint="eastAsia" w:ascii="宋体" w:hAnsi="宋体"/>
                <w:kern w:val="0"/>
                <w:sz w:val="18"/>
                <w:szCs w:val="18"/>
              </w:rPr>
              <w:br w:type="textWrapping"/>
            </w:r>
            <w:r>
              <w:rPr>
                <w:rFonts w:hint="eastAsia" w:ascii="宋体" w:hAnsi="宋体"/>
                <w:kern w:val="0"/>
                <w:sz w:val="18"/>
                <w:szCs w:val="18"/>
              </w:rPr>
              <w:t>网络功能：支持无线/有线网络打印</w:t>
            </w:r>
            <w:r>
              <w:rPr>
                <w:rFonts w:hint="eastAsia" w:ascii="宋体" w:hAnsi="宋体"/>
                <w:kern w:val="0"/>
                <w:sz w:val="18"/>
                <w:szCs w:val="18"/>
              </w:rPr>
              <w:br w:type="textWrapping"/>
            </w:r>
            <w:r>
              <w:rPr>
                <w:rFonts w:hint="eastAsia" w:ascii="宋体" w:hAnsi="宋体"/>
                <w:kern w:val="0"/>
                <w:sz w:val="18"/>
                <w:szCs w:val="18"/>
              </w:rPr>
              <w:t>黑白打印速度：A4文本：33ppm(经济)，15ipm</w:t>
            </w:r>
            <w:r>
              <w:rPr>
                <w:rFonts w:hint="eastAsia" w:ascii="宋体" w:hAnsi="宋体"/>
                <w:kern w:val="0"/>
                <w:sz w:val="18"/>
                <w:szCs w:val="18"/>
              </w:rPr>
              <w:br w:type="textWrapping"/>
            </w:r>
            <w:r>
              <w:rPr>
                <w:rFonts w:hint="eastAsia" w:ascii="宋体" w:hAnsi="宋体"/>
                <w:kern w:val="0"/>
                <w:sz w:val="18"/>
                <w:szCs w:val="18"/>
              </w:rPr>
              <w:t>彩色打印速度：A4文本：20ppm(经济)，8ipm</w:t>
            </w:r>
            <w:r>
              <w:rPr>
                <w:rFonts w:hint="eastAsia" w:ascii="宋体" w:hAnsi="宋体"/>
                <w:kern w:val="0"/>
                <w:sz w:val="18"/>
                <w:szCs w:val="18"/>
              </w:rPr>
              <w:br w:type="textWrapping"/>
            </w:r>
            <w:r>
              <w:rPr>
                <w:rFonts w:hint="eastAsia" w:ascii="宋体" w:hAnsi="宋体"/>
                <w:kern w:val="0"/>
                <w:sz w:val="18"/>
                <w:szCs w:val="18"/>
              </w:rPr>
              <w:t>打印分辨率：最大：4800×1200dpi（带有智能墨滴变换技术），黑白默认：600×300dpi</w:t>
            </w:r>
            <w:r>
              <w:rPr>
                <w:rFonts w:hint="eastAsia" w:ascii="宋体" w:hAnsi="宋体"/>
                <w:kern w:val="0"/>
                <w:sz w:val="18"/>
                <w:szCs w:val="18"/>
              </w:rPr>
              <w:br w:type="textWrapping"/>
            </w:r>
            <w:r>
              <w:rPr>
                <w:rFonts w:hint="eastAsia" w:ascii="宋体" w:hAnsi="宋体"/>
                <w:kern w:val="0"/>
                <w:sz w:val="18"/>
                <w:szCs w:val="18"/>
              </w:rPr>
              <w:t>首页打印时间：9秒</w:t>
            </w:r>
            <w:r>
              <w:rPr>
                <w:rFonts w:hint="eastAsia" w:ascii="宋体" w:hAnsi="宋体"/>
                <w:kern w:val="0"/>
                <w:sz w:val="18"/>
                <w:szCs w:val="18"/>
              </w:rPr>
              <w:br w:type="textWrapping"/>
            </w:r>
            <w:r>
              <w:rPr>
                <w:rFonts w:hint="eastAsia" w:ascii="宋体" w:hAnsi="宋体"/>
                <w:kern w:val="0"/>
                <w:sz w:val="18"/>
                <w:szCs w:val="18"/>
              </w:rPr>
              <w:t>复印分辨率：最大600×1200dpi</w:t>
            </w:r>
            <w:r>
              <w:rPr>
                <w:rFonts w:hint="eastAsia" w:ascii="宋体" w:hAnsi="宋体"/>
                <w:kern w:val="0"/>
                <w:sz w:val="18"/>
                <w:szCs w:val="18"/>
              </w:rPr>
              <w:br w:type="textWrapping"/>
            </w:r>
            <w:r>
              <w:rPr>
                <w:rFonts w:hint="eastAsia" w:ascii="宋体" w:hAnsi="宋体"/>
                <w:kern w:val="0"/>
                <w:sz w:val="18"/>
                <w:szCs w:val="18"/>
              </w:rPr>
              <w:t>连续复印：1-99页</w:t>
            </w:r>
            <w:r>
              <w:rPr>
                <w:rFonts w:hint="eastAsia" w:ascii="宋体" w:hAnsi="宋体"/>
                <w:kern w:val="0"/>
                <w:sz w:val="18"/>
                <w:szCs w:val="18"/>
              </w:rPr>
              <w:br w:type="textWrapping"/>
            </w:r>
            <w:r>
              <w:rPr>
                <w:rFonts w:hint="eastAsia" w:ascii="宋体" w:hAnsi="宋体"/>
                <w:kern w:val="0"/>
                <w:sz w:val="18"/>
                <w:szCs w:val="18"/>
              </w:rPr>
              <w:t>缩放范围：25-400%（自适应）</w:t>
            </w:r>
            <w:r>
              <w:rPr>
                <w:rFonts w:hint="eastAsia" w:ascii="宋体" w:hAnsi="宋体"/>
                <w:kern w:val="0"/>
                <w:sz w:val="18"/>
                <w:szCs w:val="18"/>
              </w:rPr>
              <w:br w:type="textWrapping"/>
            </w:r>
            <w:r>
              <w:rPr>
                <w:rFonts w:hint="eastAsia" w:ascii="宋体" w:hAnsi="宋体"/>
                <w:kern w:val="0"/>
                <w:sz w:val="18"/>
                <w:szCs w:val="18"/>
              </w:rPr>
              <w:t>扫描控制器：标准配置</w:t>
            </w:r>
            <w:r>
              <w:rPr>
                <w:rFonts w:hint="eastAsia" w:ascii="宋体" w:hAnsi="宋体"/>
                <w:kern w:val="0"/>
                <w:sz w:val="18"/>
                <w:szCs w:val="18"/>
              </w:rPr>
              <w:br w:type="textWrapping"/>
            </w:r>
            <w:r>
              <w:rPr>
                <w:rFonts w:hint="eastAsia" w:ascii="宋体" w:hAnsi="宋体"/>
                <w:kern w:val="0"/>
                <w:sz w:val="18"/>
                <w:szCs w:val="18"/>
              </w:rPr>
              <w:t>扫描类型：平板式（彩色图像扫描仪）</w:t>
            </w:r>
            <w:r>
              <w:rPr>
                <w:rFonts w:hint="eastAsia" w:ascii="宋体" w:hAnsi="宋体"/>
                <w:kern w:val="0"/>
                <w:sz w:val="18"/>
                <w:szCs w:val="18"/>
              </w:rPr>
              <w:br w:type="textWrapping"/>
            </w:r>
            <w:r>
              <w:rPr>
                <w:rFonts w:hint="eastAsia" w:ascii="宋体" w:hAnsi="宋体"/>
                <w:kern w:val="0"/>
                <w:sz w:val="18"/>
                <w:szCs w:val="18"/>
              </w:rPr>
              <w:t>扫描元件：CIS</w:t>
            </w:r>
            <w:r>
              <w:rPr>
                <w:rFonts w:hint="eastAsia" w:ascii="宋体" w:hAnsi="宋体"/>
                <w:kern w:val="0"/>
                <w:sz w:val="18"/>
                <w:szCs w:val="18"/>
              </w:rPr>
              <w:br w:type="textWrapping"/>
            </w:r>
            <w:r>
              <w:rPr>
                <w:rFonts w:hint="eastAsia" w:ascii="宋体" w:hAnsi="宋体"/>
                <w:kern w:val="0"/>
                <w:sz w:val="18"/>
                <w:szCs w:val="18"/>
              </w:rPr>
              <w:t>光学分辨率：1200dpi</w:t>
            </w:r>
            <w:r>
              <w:rPr>
                <w:rFonts w:hint="eastAsia" w:ascii="宋体" w:hAnsi="宋体"/>
                <w:kern w:val="0"/>
                <w:sz w:val="18"/>
                <w:szCs w:val="18"/>
              </w:rPr>
              <w:br w:type="textWrapping"/>
            </w:r>
            <w:r>
              <w:rPr>
                <w:rFonts w:hint="eastAsia" w:ascii="宋体" w:hAnsi="宋体"/>
                <w:kern w:val="0"/>
                <w:sz w:val="18"/>
                <w:szCs w:val="18"/>
              </w:rPr>
              <w:t>最大分辨率：最大物理分辨率：1200×2400dpi，最大分辨率：9600dpi（插值计算），ADF最大：1200×2400dpi</w:t>
            </w:r>
            <w:r>
              <w:rPr>
                <w:rFonts w:hint="eastAsia" w:ascii="宋体" w:hAnsi="宋体"/>
                <w:kern w:val="0"/>
                <w:sz w:val="18"/>
                <w:szCs w:val="18"/>
              </w:rPr>
              <w:br w:type="textWrapping"/>
            </w:r>
            <w:r>
              <w:rPr>
                <w:rFonts w:hint="eastAsia" w:ascii="宋体" w:hAnsi="宋体"/>
                <w:kern w:val="0"/>
                <w:sz w:val="18"/>
                <w:szCs w:val="18"/>
              </w:rPr>
              <w:t>扫描尺寸：平板：216×297mm（最大），ADF：Legal（最大）</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lang w:bidi="ar"/>
              </w:rPr>
            </w:pPr>
            <w:r>
              <w:rPr>
                <w:rFonts w:hint="eastAsia" w:ascii="宋体" w:hAnsi="宋体"/>
                <w:kern w:val="0"/>
                <w:sz w:val="18"/>
                <w:szCs w:val="18"/>
                <w:lang w:bidi="ar"/>
              </w:rPr>
              <w:t>爱普生（EPSON）L4168</w:t>
            </w:r>
            <w:r>
              <w:rPr>
                <w:rFonts w:hint="eastAsia" w:ascii="宋体" w:hAnsi="宋体"/>
                <w:color w:val="000000"/>
                <w:sz w:val="18"/>
                <w:szCs w:val="18"/>
              </w:rPr>
              <w:t>或同类同档次</w:t>
            </w:r>
          </w:p>
        </w:tc>
      </w:tr>
      <w:tr>
        <w:tblPrEx>
          <w:tblLayout w:type="fixed"/>
          <w:tblCellMar>
            <w:top w:w="0" w:type="dxa"/>
            <w:left w:w="0" w:type="dxa"/>
            <w:bottom w:w="0" w:type="dxa"/>
            <w:right w:w="0" w:type="dxa"/>
          </w:tblCellMar>
        </w:tblPrEx>
        <w:trPr>
          <w:trHeight w:val="300" w:hRule="atLeast"/>
          <w:jc w:val="cent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8</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笔记本电脑</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3</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kern w:val="0"/>
                <w:sz w:val="18"/>
                <w:szCs w:val="18"/>
              </w:rPr>
              <w:t>台</w:t>
            </w:r>
          </w:p>
        </w:tc>
        <w:tc>
          <w:tcPr>
            <w:tcW w:w="6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sz w:val="18"/>
                <w:szCs w:val="18"/>
              </w:rPr>
            </w:pPr>
            <w:r>
              <w:rPr>
                <w:rFonts w:hint="eastAsia" w:ascii="宋体" w:hAnsi="宋体"/>
                <w:sz w:val="18"/>
                <w:szCs w:val="18"/>
              </w:rPr>
              <w:t>CPU:I7</w:t>
            </w:r>
          </w:p>
          <w:p>
            <w:pPr>
              <w:widowControl/>
              <w:jc w:val="left"/>
              <w:textAlignment w:val="center"/>
              <w:rPr>
                <w:rFonts w:ascii="宋体" w:hAnsi="宋体"/>
                <w:sz w:val="18"/>
                <w:szCs w:val="18"/>
              </w:rPr>
            </w:pPr>
            <w:r>
              <w:rPr>
                <w:rFonts w:hint="eastAsia" w:ascii="宋体" w:hAnsi="宋体"/>
                <w:sz w:val="18"/>
                <w:szCs w:val="18"/>
              </w:rPr>
              <w:t>内存：8G</w:t>
            </w:r>
          </w:p>
          <w:p>
            <w:pPr>
              <w:widowControl/>
              <w:jc w:val="left"/>
              <w:textAlignment w:val="center"/>
              <w:rPr>
                <w:rFonts w:ascii="宋体" w:hAnsi="宋体"/>
                <w:sz w:val="18"/>
                <w:szCs w:val="18"/>
              </w:rPr>
            </w:pPr>
            <w:r>
              <w:rPr>
                <w:rFonts w:hint="eastAsia" w:ascii="宋体" w:hAnsi="宋体"/>
                <w:sz w:val="18"/>
                <w:szCs w:val="18"/>
              </w:rPr>
              <w:t>硬盘：512GB SSD</w:t>
            </w:r>
          </w:p>
          <w:p>
            <w:pPr>
              <w:widowControl/>
              <w:jc w:val="left"/>
              <w:textAlignment w:val="center"/>
              <w:rPr>
                <w:rFonts w:ascii="宋体" w:hAnsi="宋体"/>
                <w:sz w:val="18"/>
                <w:szCs w:val="18"/>
              </w:rPr>
            </w:pPr>
            <w:r>
              <w:rPr>
                <w:rFonts w:hint="eastAsia" w:ascii="宋体" w:hAnsi="宋体"/>
                <w:sz w:val="18"/>
                <w:szCs w:val="18"/>
              </w:rPr>
              <w:t>屏幕：13.3”FHD（1920*1080）72%</w:t>
            </w:r>
          </w:p>
          <w:p>
            <w:pPr>
              <w:widowControl/>
              <w:jc w:val="left"/>
              <w:textAlignment w:val="center"/>
              <w:rPr>
                <w:rFonts w:ascii="宋体" w:hAnsi="宋体"/>
                <w:sz w:val="18"/>
                <w:szCs w:val="18"/>
              </w:rPr>
            </w:pPr>
            <w:r>
              <w:rPr>
                <w:rFonts w:hint="eastAsia" w:ascii="宋体" w:hAnsi="宋体"/>
                <w:sz w:val="18"/>
                <w:szCs w:val="18"/>
              </w:rPr>
              <w:t>显卡：NVIDIA MX350(2GB)</w:t>
            </w:r>
          </w:p>
          <w:p>
            <w:pPr>
              <w:widowControl/>
              <w:jc w:val="left"/>
              <w:textAlignment w:val="center"/>
              <w:rPr>
                <w:rFonts w:ascii="宋体" w:hAnsi="宋体"/>
                <w:sz w:val="18"/>
                <w:szCs w:val="18"/>
              </w:rPr>
            </w:pPr>
            <w:r>
              <w:rPr>
                <w:rFonts w:hint="eastAsia" w:ascii="宋体" w:hAnsi="宋体"/>
                <w:sz w:val="18"/>
                <w:szCs w:val="18"/>
              </w:rPr>
              <w:t>系统：WIN 10</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lang w:bidi="ar"/>
              </w:rPr>
            </w:pPr>
            <w:r>
              <w:rPr>
                <w:rFonts w:hint="eastAsia" w:ascii="宋体" w:hAnsi="宋体"/>
                <w:kern w:val="0"/>
                <w:sz w:val="18"/>
                <w:szCs w:val="18"/>
                <w:lang w:bidi="ar"/>
              </w:rPr>
              <w:t>戴尔灵越 5000Ins 13-5301-R1725s</w:t>
            </w:r>
            <w:r>
              <w:rPr>
                <w:rFonts w:hint="eastAsia" w:ascii="宋体" w:hAnsi="宋体"/>
                <w:color w:val="000000"/>
                <w:sz w:val="18"/>
                <w:szCs w:val="18"/>
              </w:rPr>
              <w:t>或同类同档次</w:t>
            </w:r>
          </w:p>
        </w:tc>
      </w:tr>
    </w:tbl>
    <w:p>
      <w:pPr>
        <w:snapToGrid w:val="0"/>
        <w:spacing w:line="360" w:lineRule="auto"/>
        <w:rPr>
          <w:rFonts w:hint="eastAsia" w:ascii="宋体" w:hAnsi="宋体"/>
          <w:bCs/>
          <w:color w:val="FF0000"/>
          <w:sz w:val="24"/>
          <w:szCs w:val="20"/>
        </w:rPr>
      </w:pPr>
      <w:r>
        <w:rPr>
          <w:rFonts w:hint="eastAsia" w:ascii="宋体" w:hAnsi="宋体"/>
          <w:bCs/>
          <w:color w:val="FF0000"/>
          <w:sz w:val="24"/>
          <w:szCs w:val="20"/>
        </w:rPr>
        <w:t>备注：表中列明了参考品牌、产地、型号等，但仅起说明作用，并没有任何限制性。供应商在方案提交时候可以选用替代标准、品牌或型号，但这些替代要实质上满足或超过采购要求。</w:t>
      </w:r>
    </w:p>
    <w:p>
      <w:pPr>
        <w:snapToGrid w:val="0"/>
        <w:spacing w:line="360" w:lineRule="auto"/>
        <w:rPr>
          <w:rFonts w:hint="eastAsia" w:ascii="宋体" w:hAnsi="宋体"/>
          <w:b/>
          <w:bCs/>
          <w:sz w:val="24"/>
          <w:szCs w:val="20"/>
        </w:rPr>
      </w:pPr>
      <w:r>
        <w:rPr>
          <w:rFonts w:hint="eastAsia" w:ascii="宋体" w:hAnsi="宋体"/>
          <w:b/>
          <w:bCs/>
          <w:sz w:val="24"/>
          <w:szCs w:val="20"/>
        </w:rPr>
        <w:t>五、资信及商务要求</w:t>
      </w:r>
    </w:p>
    <w:p>
      <w:pPr>
        <w:snapToGrid w:val="0"/>
        <w:spacing w:line="360" w:lineRule="auto"/>
        <w:ind w:firstLine="426" w:firstLineChars="177"/>
        <w:rPr>
          <w:rFonts w:hint="eastAsia" w:ascii="宋体" w:hAnsi="宋体"/>
          <w:b/>
          <w:bCs/>
          <w:sz w:val="24"/>
          <w:szCs w:val="20"/>
        </w:rPr>
      </w:pPr>
      <w:r>
        <w:rPr>
          <w:rFonts w:hint="eastAsia" w:ascii="宋体" w:hAnsi="宋体"/>
          <w:b/>
          <w:bCs/>
          <w:sz w:val="24"/>
          <w:szCs w:val="20"/>
        </w:rPr>
        <w:t>（一）具体实施响应要求</w:t>
      </w:r>
    </w:p>
    <w:p>
      <w:pPr>
        <w:snapToGrid w:val="0"/>
        <w:spacing w:line="360" w:lineRule="auto"/>
        <w:ind w:firstLine="424" w:firstLineChars="177"/>
        <w:rPr>
          <w:rFonts w:ascii="宋体" w:hAnsi="宋体"/>
          <w:bCs/>
          <w:sz w:val="24"/>
          <w:szCs w:val="20"/>
        </w:rPr>
      </w:pPr>
      <w:r>
        <w:rPr>
          <w:rFonts w:hint="eastAsia" w:ascii="宋体" w:hAnsi="宋体"/>
          <w:bCs/>
          <w:sz w:val="24"/>
          <w:szCs w:val="20"/>
        </w:rPr>
        <w:t>1．设备质保期必须验收合格后≥3年，设施设备质保期满后终身免上门服务费，仅收取材料费（所有费用包含在投标总价中）；</w:t>
      </w:r>
    </w:p>
    <w:p>
      <w:pPr>
        <w:snapToGrid w:val="0"/>
        <w:spacing w:line="360" w:lineRule="auto"/>
        <w:ind w:firstLine="424" w:firstLineChars="177"/>
        <w:rPr>
          <w:rFonts w:ascii="宋体" w:hAnsi="宋体"/>
          <w:bCs/>
          <w:sz w:val="24"/>
          <w:szCs w:val="20"/>
        </w:rPr>
      </w:pPr>
      <w:r>
        <w:rPr>
          <w:rFonts w:hint="eastAsia" w:ascii="宋体" w:hAnsi="宋体"/>
          <w:bCs/>
          <w:sz w:val="24"/>
          <w:szCs w:val="20"/>
        </w:rPr>
        <w:t>2．供应商在保修期内，应承诺提供7×24小时免备件费、免人工费、免服务费的服务，软硬件系统出现故障影响正常运行的，7×24小时响应，4小时必须响应到场。其它要求24小时现场响应，同时承诺向招标人提供良好的长期保修、维护、服务和终身免费的技术支持。</w:t>
      </w:r>
    </w:p>
    <w:p>
      <w:pPr>
        <w:snapToGrid w:val="0"/>
        <w:spacing w:line="360" w:lineRule="auto"/>
        <w:ind w:firstLine="424" w:firstLineChars="177"/>
        <w:rPr>
          <w:rFonts w:ascii="宋体" w:hAnsi="宋体"/>
          <w:bCs/>
          <w:sz w:val="24"/>
          <w:szCs w:val="20"/>
        </w:rPr>
      </w:pPr>
      <w:r>
        <w:rPr>
          <w:rFonts w:hint="eastAsia" w:ascii="宋体" w:hAnsi="宋体"/>
          <w:bCs/>
          <w:sz w:val="24"/>
          <w:szCs w:val="20"/>
        </w:rPr>
        <w:t>3．供应商应具有完善的售后服务体系，建有零配件仓库。供应商应提供质保期后的服务计划或建议，明确收费事项及标准；</w:t>
      </w:r>
    </w:p>
    <w:p>
      <w:pPr>
        <w:snapToGrid w:val="0"/>
        <w:spacing w:line="360" w:lineRule="auto"/>
        <w:ind w:firstLine="424" w:firstLineChars="177"/>
        <w:rPr>
          <w:rFonts w:ascii="宋体" w:hAnsi="宋体"/>
          <w:bCs/>
          <w:sz w:val="24"/>
          <w:szCs w:val="20"/>
        </w:rPr>
      </w:pPr>
      <w:r>
        <w:rPr>
          <w:rFonts w:hint="eastAsia" w:ascii="宋体" w:hAnsi="宋体"/>
          <w:bCs/>
          <w:sz w:val="24"/>
          <w:szCs w:val="20"/>
        </w:rPr>
        <w:t>4．提供供应商售后服务部门及维修网点的联系电话；</w:t>
      </w:r>
    </w:p>
    <w:p>
      <w:pPr>
        <w:snapToGrid w:val="0"/>
        <w:spacing w:line="360" w:lineRule="auto"/>
        <w:ind w:firstLine="424" w:firstLineChars="177"/>
        <w:rPr>
          <w:rFonts w:ascii="宋体" w:hAnsi="宋体"/>
          <w:bCs/>
          <w:sz w:val="24"/>
          <w:szCs w:val="20"/>
        </w:rPr>
      </w:pPr>
      <w:r>
        <w:rPr>
          <w:rFonts w:hint="eastAsia" w:ascii="宋体" w:hAnsi="宋体"/>
          <w:bCs/>
          <w:sz w:val="24"/>
          <w:szCs w:val="20"/>
        </w:rPr>
        <w:t>5、供应商的售后服务应以招标方能够获得系统良好的使用效果和技术支持为目的，供应商应随投标书提交一份售后服务和技术支持计划。应包括有：</w:t>
      </w:r>
    </w:p>
    <w:p>
      <w:pPr>
        <w:snapToGrid w:val="0"/>
        <w:spacing w:line="360" w:lineRule="auto"/>
        <w:ind w:firstLine="424" w:firstLineChars="177"/>
        <w:rPr>
          <w:rFonts w:ascii="宋体" w:hAnsi="宋体"/>
          <w:bCs/>
          <w:sz w:val="24"/>
          <w:szCs w:val="20"/>
        </w:rPr>
      </w:pPr>
      <w:r>
        <w:rPr>
          <w:rFonts w:hint="eastAsia" w:ascii="宋体" w:hAnsi="宋体"/>
          <w:bCs/>
          <w:sz w:val="24"/>
          <w:szCs w:val="20"/>
        </w:rPr>
        <w:t xml:space="preserve">1）质保期内及质保期后系统故障多长时间内响应； </w:t>
      </w:r>
    </w:p>
    <w:p>
      <w:pPr>
        <w:snapToGrid w:val="0"/>
        <w:spacing w:line="360" w:lineRule="auto"/>
        <w:ind w:firstLine="424" w:firstLineChars="177"/>
        <w:rPr>
          <w:rFonts w:hint="eastAsia" w:ascii="宋体" w:hAnsi="宋体"/>
          <w:bCs/>
          <w:sz w:val="24"/>
          <w:szCs w:val="20"/>
        </w:rPr>
      </w:pPr>
      <w:r>
        <w:rPr>
          <w:rFonts w:hint="eastAsia" w:ascii="宋体" w:hAnsi="宋体"/>
          <w:bCs/>
          <w:sz w:val="24"/>
          <w:szCs w:val="20"/>
        </w:rPr>
        <w:t>2）质保期内常用零配件价格清单。</w:t>
      </w:r>
    </w:p>
    <w:p>
      <w:pPr>
        <w:snapToGrid w:val="0"/>
        <w:spacing w:line="360" w:lineRule="auto"/>
        <w:ind w:firstLine="426" w:firstLineChars="177"/>
        <w:rPr>
          <w:rFonts w:hint="eastAsia" w:ascii="宋体" w:hAnsi="宋体"/>
          <w:b/>
          <w:bCs/>
          <w:sz w:val="24"/>
          <w:szCs w:val="20"/>
        </w:rPr>
      </w:pPr>
      <w:r>
        <w:rPr>
          <w:rFonts w:hint="eastAsia" w:ascii="宋体" w:hAnsi="宋体"/>
          <w:b/>
          <w:bCs/>
          <w:sz w:val="24"/>
          <w:szCs w:val="20"/>
        </w:rPr>
        <w:t>（二）培训</w:t>
      </w:r>
    </w:p>
    <w:p>
      <w:pPr>
        <w:snapToGrid w:val="0"/>
        <w:spacing w:line="360" w:lineRule="auto"/>
        <w:ind w:firstLine="424" w:firstLineChars="177"/>
        <w:rPr>
          <w:rFonts w:ascii="宋体" w:hAnsi="宋体"/>
          <w:bCs/>
          <w:sz w:val="24"/>
          <w:szCs w:val="20"/>
        </w:rPr>
      </w:pPr>
      <w:r>
        <w:rPr>
          <w:rFonts w:hint="eastAsia" w:ascii="宋体" w:hAnsi="宋体"/>
          <w:bCs/>
          <w:sz w:val="24"/>
          <w:szCs w:val="20"/>
        </w:rPr>
        <w:t>1、供应商应对用户进行培训，并承担所有费用，使其能对设备进行日常的维护保养及能对一般故障进行维修，并向培训人员提供详细的技术维修及调试参数资料；</w:t>
      </w:r>
    </w:p>
    <w:p>
      <w:pPr>
        <w:snapToGrid w:val="0"/>
        <w:spacing w:line="360" w:lineRule="auto"/>
        <w:ind w:firstLine="424" w:firstLineChars="177"/>
        <w:rPr>
          <w:rFonts w:ascii="宋体" w:hAnsi="宋体"/>
          <w:bCs/>
          <w:sz w:val="24"/>
          <w:szCs w:val="20"/>
        </w:rPr>
      </w:pPr>
      <w:r>
        <w:rPr>
          <w:rFonts w:hint="eastAsia" w:ascii="宋体" w:hAnsi="宋体"/>
          <w:bCs/>
          <w:sz w:val="24"/>
          <w:szCs w:val="20"/>
        </w:rPr>
        <w:t>2、供应商应对用户的操作人员进行技术操作培训并提供详细的操作手册，所有费用由供应商承担；</w:t>
      </w:r>
    </w:p>
    <w:p>
      <w:pPr>
        <w:snapToGrid w:val="0"/>
        <w:spacing w:line="360" w:lineRule="auto"/>
        <w:ind w:firstLine="424" w:firstLineChars="177"/>
        <w:rPr>
          <w:rFonts w:hint="eastAsia" w:ascii="宋体" w:hAnsi="宋体"/>
          <w:bCs/>
          <w:sz w:val="24"/>
          <w:szCs w:val="20"/>
        </w:rPr>
      </w:pPr>
      <w:r>
        <w:rPr>
          <w:rFonts w:hint="eastAsia" w:ascii="宋体" w:hAnsi="宋体"/>
          <w:bCs/>
          <w:sz w:val="24"/>
          <w:szCs w:val="20"/>
        </w:rPr>
        <w:t>3、上述两种培训的培训方式、地点、人数、时间，投标商应在《投标文件》中详细说明。</w:t>
      </w:r>
    </w:p>
    <w:p>
      <w:pPr>
        <w:snapToGrid w:val="0"/>
        <w:spacing w:line="360" w:lineRule="auto"/>
        <w:ind w:firstLine="426" w:firstLineChars="177"/>
        <w:rPr>
          <w:rFonts w:hint="eastAsia" w:ascii="宋体" w:hAnsi="宋体"/>
          <w:b/>
          <w:bCs/>
          <w:sz w:val="24"/>
          <w:szCs w:val="20"/>
        </w:rPr>
      </w:pPr>
      <w:r>
        <w:rPr>
          <w:rFonts w:hint="eastAsia" w:ascii="宋体" w:hAnsi="宋体"/>
          <w:b/>
          <w:bCs/>
          <w:sz w:val="24"/>
          <w:szCs w:val="20"/>
        </w:rPr>
        <w:t>（三）交货时间及地点</w:t>
      </w:r>
    </w:p>
    <w:p>
      <w:pPr>
        <w:snapToGrid w:val="0"/>
        <w:spacing w:line="360" w:lineRule="auto"/>
        <w:ind w:firstLine="424" w:firstLineChars="177"/>
        <w:rPr>
          <w:rFonts w:ascii="宋体" w:hAnsi="宋体"/>
          <w:bCs/>
          <w:sz w:val="24"/>
          <w:szCs w:val="20"/>
        </w:rPr>
      </w:pPr>
      <w:r>
        <w:rPr>
          <w:rFonts w:hint="eastAsia" w:ascii="宋体" w:hAnsi="宋体"/>
          <w:bCs/>
          <w:sz w:val="24"/>
          <w:szCs w:val="20"/>
        </w:rPr>
        <w:t>合同签订后20日历天内，具体开工时间待签订合同时确定。供应商应根据自身施工经验、技术水平及管理能力自行确定最短工期。</w:t>
      </w:r>
    </w:p>
    <w:p>
      <w:pPr>
        <w:snapToGrid w:val="0"/>
        <w:spacing w:line="360" w:lineRule="auto"/>
        <w:ind w:firstLine="424" w:firstLineChars="177"/>
        <w:rPr>
          <w:rFonts w:ascii="宋体" w:hAnsi="宋体"/>
          <w:bCs/>
          <w:sz w:val="24"/>
          <w:szCs w:val="20"/>
        </w:rPr>
      </w:pPr>
      <w:r>
        <w:rPr>
          <w:rFonts w:hint="eastAsia" w:ascii="宋体" w:hAnsi="宋体"/>
          <w:bCs/>
          <w:sz w:val="24"/>
          <w:szCs w:val="20"/>
        </w:rPr>
        <w:t>安装地点：浙江旅游职业学院本部</w:t>
      </w:r>
    </w:p>
    <w:p>
      <w:pPr>
        <w:snapToGrid w:val="0"/>
        <w:spacing w:line="360" w:lineRule="auto"/>
        <w:ind w:firstLine="424" w:firstLineChars="177"/>
        <w:rPr>
          <w:rFonts w:ascii="宋体" w:hAnsi="宋体"/>
          <w:bCs/>
          <w:sz w:val="24"/>
          <w:szCs w:val="20"/>
        </w:rPr>
      </w:pPr>
      <w:r>
        <w:rPr>
          <w:rFonts w:hint="eastAsia" w:ascii="宋体" w:hAnsi="宋体"/>
          <w:bCs/>
          <w:sz w:val="24"/>
          <w:szCs w:val="20"/>
        </w:rPr>
        <w:t>安装标准：符合国家相关标准</w:t>
      </w:r>
    </w:p>
    <w:p>
      <w:pPr>
        <w:snapToGrid w:val="0"/>
        <w:spacing w:line="360" w:lineRule="auto"/>
        <w:ind w:firstLine="424" w:firstLineChars="177"/>
        <w:rPr>
          <w:rFonts w:hint="eastAsia" w:ascii="宋体" w:hAnsi="宋体"/>
          <w:bCs/>
          <w:sz w:val="24"/>
          <w:szCs w:val="20"/>
        </w:rPr>
      </w:pPr>
      <w:r>
        <w:rPr>
          <w:rFonts w:hint="eastAsia" w:ascii="宋体" w:hAnsi="宋体"/>
          <w:bCs/>
          <w:sz w:val="24"/>
          <w:szCs w:val="20"/>
        </w:rPr>
        <w:t>安装过程中发生的一切费用由供应商负责。供应商应在《投标文件》中提供其安装调试计划和对安装场地和环境的要求。</w:t>
      </w:r>
    </w:p>
    <w:p>
      <w:pPr>
        <w:snapToGrid w:val="0"/>
        <w:spacing w:line="360" w:lineRule="auto"/>
        <w:ind w:firstLine="426" w:firstLineChars="177"/>
        <w:rPr>
          <w:rFonts w:hint="eastAsia" w:ascii="宋体" w:hAnsi="宋体"/>
          <w:b/>
          <w:bCs/>
          <w:sz w:val="24"/>
          <w:szCs w:val="20"/>
        </w:rPr>
      </w:pPr>
      <w:r>
        <w:rPr>
          <w:rFonts w:hint="eastAsia" w:ascii="宋体" w:hAnsi="宋体"/>
          <w:b/>
          <w:bCs/>
          <w:sz w:val="24"/>
          <w:szCs w:val="20"/>
        </w:rPr>
        <w:t>（四）验收</w:t>
      </w:r>
    </w:p>
    <w:p>
      <w:pPr>
        <w:snapToGrid w:val="0"/>
        <w:spacing w:line="360" w:lineRule="auto"/>
        <w:ind w:firstLine="424" w:firstLineChars="177"/>
        <w:rPr>
          <w:rFonts w:ascii="宋体" w:hAnsi="宋体"/>
          <w:bCs/>
          <w:sz w:val="24"/>
          <w:szCs w:val="20"/>
        </w:rPr>
      </w:pPr>
      <w:r>
        <w:rPr>
          <w:rFonts w:hint="eastAsia" w:ascii="宋体" w:hAnsi="宋体"/>
          <w:bCs/>
          <w:sz w:val="24"/>
          <w:szCs w:val="20"/>
        </w:rPr>
        <w:t>1验收依据：</w:t>
      </w:r>
    </w:p>
    <w:p>
      <w:pPr>
        <w:snapToGrid w:val="0"/>
        <w:spacing w:line="360" w:lineRule="auto"/>
        <w:ind w:firstLine="424" w:firstLineChars="177"/>
        <w:rPr>
          <w:rFonts w:ascii="宋体" w:hAnsi="宋体"/>
          <w:bCs/>
          <w:sz w:val="24"/>
          <w:szCs w:val="20"/>
        </w:rPr>
      </w:pPr>
      <w:r>
        <w:rPr>
          <w:rFonts w:hint="eastAsia" w:ascii="宋体" w:hAnsi="宋体"/>
          <w:bCs/>
          <w:sz w:val="24"/>
          <w:szCs w:val="20"/>
        </w:rPr>
        <w:t>招标文件、投标文件、厂家技术标准说明及国家有关的质量标准、验收规范等规定。</w:t>
      </w:r>
    </w:p>
    <w:p>
      <w:pPr>
        <w:snapToGrid w:val="0"/>
        <w:spacing w:line="360" w:lineRule="auto"/>
        <w:ind w:firstLine="424" w:firstLineChars="177"/>
        <w:rPr>
          <w:rFonts w:ascii="宋体" w:hAnsi="宋体"/>
          <w:bCs/>
          <w:sz w:val="24"/>
          <w:szCs w:val="20"/>
        </w:rPr>
      </w:pPr>
      <w:r>
        <w:rPr>
          <w:rFonts w:hint="eastAsia" w:ascii="宋体" w:hAnsi="宋体"/>
          <w:bCs/>
          <w:sz w:val="24"/>
          <w:szCs w:val="20"/>
        </w:rPr>
        <w:t>2验收方式：</w:t>
      </w:r>
    </w:p>
    <w:p>
      <w:pPr>
        <w:snapToGrid w:val="0"/>
        <w:spacing w:line="360" w:lineRule="auto"/>
        <w:ind w:firstLine="424" w:firstLineChars="177"/>
        <w:rPr>
          <w:rFonts w:ascii="宋体" w:hAnsi="宋体"/>
          <w:bCs/>
          <w:sz w:val="24"/>
          <w:szCs w:val="20"/>
        </w:rPr>
      </w:pPr>
      <w:r>
        <w:rPr>
          <w:rFonts w:hint="eastAsia" w:ascii="宋体" w:hAnsi="宋体"/>
          <w:bCs/>
          <w:sz w:val="24"/>
          <w:szCs w:val="20"/>
        </w:rPr>
        <w:t>（1）货物验收：货物运抵采购单位指定地点后，双方对照采购清单及技术要求进行验收。验收中设备若达不到验收标准或合同的规定，供应商必须更换有关部件，使设备最终达到规定的性能指标和功能要求，并且赔偿由此给采购单位造成的损失；</w:t>
      </w:r>
    </w:p>
    <w:p>
      <w:pPr>
        <w:snapToGrid w:val="0"/>
        <w:spacing w:line="360" w:lineRule="auto"/>
        <w:ind w:firstLine="424" w:firstLineChars="177"/>
        <w:rPr>
          <w:rFonts w:hint="eastAsia" w:ascii="宋体" w:hAnsi="宋体"/>
          <w:bCs/>
          <w:sz w:val="24"/>
          <w:szCs w:val="20"/>
        </w:rPr>
      </w:pPr>
      <w:r>
        <w:rPr>
          <w:rFonts w:hint="eastAsia" w:ascii="宋体" w:hAnsi="宋体"/>
          <w:bCs/>
          <w:sz w:val="24"/>
          <w:szCs w:val="20"/>
        </w:rPr>
        <w:t>（2）系统验收：中标方完成安装调试后，由采购单位组织验收。</w:t>
      </w:r>
    </w:p>
    <w:p>
      <w:pPr>
        <w:snapToGrid w:val="0"/>
        <w:spacing w:line="360" w:lineRule="auto"/>
        <w:ind w:firstLine="424" w:firstLineChars="177"/>
        <w:rPr>
          <w:rFonts w:hint="eastAsia" w:ascii="宋体" w:hAnsi="宋体"/>
          <w:bCs/>
          <w:sz w:val="24"/>
          <w:szCs w:val="20"/>
        </w:rPr>
      </w:pPr>
      <w:r>
        <w:rPr>
          <w:rFonts w:hint="eastAsia" w:ascii="宋体" w:hAnsi="宋体"/>
          <w:bCs/>
          <w:sz w:val="24"/>
          <w:szCs w:val="20"/>
        </w:rPr>
        <w:t>（五）付款条件</w:t>
      </w:r>
    </w:p>
    <w:p>
      <w:pPr>
        <w:snapToGrid w:val="0"/>
        <w:spacing w:line="360" w:lineRule="auto"/>
        <w:ind w:firstLine="424" w:firstLineChars="177"/>
        <w:rPr>
          <w:rFonts w:hint="eastAsia" w:ascii="宋体" w:hAnsi="宋体"/>
          <w:bCs/>
          <w:sz w:val="24"/>
          <w:szCs w:val="20"/>
        </w:rPr>
      </w:pPr>
      <w:r>
        <w:rPr>
          <w:rFonts w:hint="eastAsia" w:ascii="宋体" w:hAnsi="宋体"/>
          <w:bCs/>
          <w:sz w:val="24"/>
          <w:szCs w:val="20"/>
        </w:rPr>
        <w:t>项目建设完成验收合格后三十个工作日内支付100%合同款。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81173"/>
    <w:rsid w:val="515C179A"/>
    <w:rsid w:val="6678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浙江省卫生和计划生育委员会</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2020-11-13T00:18:00Z</dcterms:created>
  <dc:creator>王菁</dc:creator>
  <cp:lastModifiedBy>王菁</cp:lastModifiedBy>
  <dcterms:modified xsi:type="dcterms:W3CDTF">2020-11-13T00:24:44Z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